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0D83" w:rsidRDefault="00D20D83" w:rsidP="00766BB2"/>
    <w:p w:rsidR="00BB1745" w:rsidRPr="006A31D7" w:rsidRDefault="00BB1745" w:rsidP="00766BB2"/>
    <w:p w:rsidR="00DB1E25" w:rsidRPr="006A31D7" w:rsidRDefault="00DB1E25" w:rsidP="00766BB2"/>
    <w:p w:rsidR="00477D64" w:rsidRPr="00FF17EC" w:rsidRDefault="00477D64" w:rsidP="00477D64">
      <w:pPr>
        <w:jc w:val="center"/>
        <w:rPr>
          <w:rFonts w:cs="Arial"/>
          <w:sz w:val="28"/>
          <w:szCs w:val="28"/>
        </w:rPr>
      </w:pPr>
    </w:p>
    <w:p w:rsidR="00477D64" w:rsidRPr="00FF17EC" w:rsidRDefault="00477D64" w:rsidP="00477D64">
      <w:pPr>
        <w:jc w:val="center"/>
        <w:rPr>
          <w:rFonts w:cs="Arial"/>
          <w:sz w:val="28"/>
          <w:szCs w:val="28"/>
          <w:lang w:val="it-IT"/>
        </w:rPr>
      </w:pPr>
      <w:r w:rsidRPr="00FF17EC">
        <w:rPr>
          <w:rFonts w:cs="Arial"/>
          <w:sz w:val="28"/>
          <w:szCs w:val="28"/>
          <w:lang w:val="it-IT"/>
        </w:rPr>
        <w:t>Romania-Serbia IPA CBC Programme 2014 -</w:t>
      </w:r>
      <w:r w:rsidR="00013F0C" w:rsidRPr="00FF17EC">
        <w:rPr>
          <w:rFonts w:cs="Arial"/>
          <w:sz w:val="28"/>
          <w:szCs w:val="28"/>
          <w:lang w:val="it-IT"/>
        </w:rPr>
        <w:t xml:space="preserve"> </w:t>
      </w:r>
      <w:r w:rsidRPr="00FF17EC">
        <w:rPr>
          <w:rFonts w:cs="Arial"/>
          <w:sz w:val="28"/>
          <w:szCs w:val="28"/>
          <w:lang w:val="it-IT"/>
        </w:rPr>
        <w:t xml:space="preserve">2020 </w:t>
      </w:r>
    </w:p>
    <w:p w:rsidR="00477D64" w:rsidRPr="00FF17EC" w:rsidRDefault="00477D64" w:rsidP="00477D64">
      <w:pPr>
        <w:jc w:val="center"/>
        <w:rPr>
          <w:rFonts w:cs="Arial"/>
          <w:b/>
          <w:sz w:val="28"/>
          <w:szCs w:val="28"/>
        </w:rPr>
      </w:pPr>
      <w:r w:rsidRPr="00FF17EC">
        <w:rPr>
          <w:rFonts w:cs="Arial"/>
          <w:b/>
          <w:sz w:val="28"/>
          <w:szCs w:val="28"/>
        </w:rPr>
        <w:t>Territorial Analysis</w:t>
      </w:r>
      <w:r w:rsidR="005D307D">
        <w:rPr>
          <w:rFonts w:cs="Arial"/>
          <w:b/>
          <w:sz w:val="28"/>
          <w:szCs w:val="28"/>
        </w:rPr>
        <w:t xml:space="preserve"> of the programme area</w:t>
      </w:r>
    </w:p>
    <w:p w:rsidR="00477D64" w:rsidRPr="00FF17EC" w:rsidRDefault="00477D64" w:rsidP="00477D64">
      <w:pPr>
        <w:jc w:val="center"/>
        <w:rPr>
          <w:rFonts w:cs="Arial"/>
          <w:sz w:val="28"/>
          <w:szCs w:val="28"/>
        </w:rPr>
      </w:pPr>
    </w:p>
    <w:p w:rsidR="00477D64" w:rsidRPr="00FF17EC" w:rsidRDefault="00477D64" w:rsidP="00477D64">
      <w:pPr>
        <w:jc w:val="center"/>
        <w:rPr>
          <w:rFonts w:cs="Arial"/>
          <w:sz w:val="28"/>
          <w:szCs w:val="28"/>
        </w:rPr>
      </w:pPr>
    </w:p>
    <w:p w:rsidR="00D20D83" w:rsidRPr="009737E5" w:rsidRDefault="009737E5" w:rsidP="009737E5">
      <w:pPr>
        <w:jc w:val="center"/>
        <w:rPr>
          <w:rFonts w:cs="Arial"/>
          <w:sz w:val="28"/>
          <w:szCs w:val="28"/>
        </w:rPr>
      </w:pPr>
      <w:r>
        <w:rPr>
          <w:rFonts w:cs="Arial"/>
          <w:sz w:val="28"/>
          <w:szCs w:val="28"/>
        </w:rPr>
        <w:t>May</w:t>
      </w:r>
      <w:r w:rsidR="00687088" w:rsidRPr="00FF17EC">
        <w:rPr>
          <w:rFonts w:cs="Arial"/>
          <w:sz w:val="28"/>
          <w:szCs w:val="28"/>
        </w:rPr>
        <w:t xml:space="preserve"> </w:t>
      </w:r>
      <w:r w:rsidR="00477D64" w:rsidRPr="00FF17EC">
        <w:rPr>
          <w:rFonts w:cs="Arial"/>
          <w:sz w:val="28"/>
          <w:szCs w:val="28"/>
        </w:rPr>
        <w:t>2014</w:t>
      </w:r>
    </w:p>
    <w:sdt>
      <w:sdtPr>
        <w:rPr>
          <w:rFonts w:ascii="Trebuchet MS" w:hAnsi="Trebuchet MS" w:cs="Trebuchet MS"/>
          <w:b w:val="0"/>
          <w:bCs w:val="0"/>
          <w:color w:val="auto"/>
          <w:sz w:val="22"/>
          <w:szCs w:val="22"/>
          <w:lang w:val="en-GB"/>
        </w:rPr>
        <w:id w:val="28965475"/>
        <w:docPartObj>
          <w:docPartGallery w:val="Table of Contents"/>
          <w:docPartUnique/>
        </w:docPartObj>
      </w:sdtPr>
      <w:sdtEndPr/>
      <w:sdtContent>
        <w:p w:rsidR="003B1322" w:rsidRPr="00FF17EC" w:rsidRDefault="00CE6BC1" w:rsidP="00A62261">
          <w:pPr>
            <w:pStyle w:val="TOCHeading"/>
            <w:numPr>
              <w:ilvl w:val="0"/>
              <w:numId w:val="0"/>
            </w:numPr>
            <w:ind w:left="567"/>
            <w:rPr>
              <w:rFonts w:ascii="Trebuchet MS" w:hAnsi="Trebuchet MS"/>
            </w:rPr>
          </w:pPr>
          <w:r w:rsidRPr="00FF17EC">
            <w:rPr>
              <w:rFonts w:ascii="Trebuchet MS" w:hAnsi="Trebuchet MS"/>
            </w:rPr>
            <w:t>Table of Contents</w:t>
          </w:r>
        </w:p>
        <w:p w:rsidR="00BB1745" w:rsidRPr="00FF17EC" w:rsidRDefault="00085686">
          <w:pPr>
            <w:pStyle w:val="TOC1"/>
            <w:rPr>
              <w:rFonts w:asciiTheme="minorHAnsi" w:eastAsiaTheme="minorEastAsia" w:hAnsiTheme="minorHAnsi" w:cstheme="minorBidi"/>
              <w:b w:val="0"/>
              <w:sz w:val="22"/>
              <w:lang w:val="it-IT" w:eastAsia="it-IT"/>
            </w:rPr>
          </w:pPr>
          <w:r w:rsidRPr="00FF17EC">
            <w:fldChar w:fldCharType="begin"/>
          </w:r>
          <w:r w:rsidR="003C10B3" w:rsidRPr="00FF17EC">
            <w:instrText xml:space="preserve"> TOC \o "1-2" \h \z \u </w:instrText>
          </w:r>
          <w:r w:rsidRPr="00FF17EC">
            <w:fldChar w:fldCharType="separate"/>
          </w:r>
          <w:hyperlink w:anchor="_Toc383415697" w:history="1">
            <w:r w:rsidR="00BB1745" w:rsidRPr="00FF17EC">
              <w:rPr>
                <w:rStyle w:val="Hyperlink"/>
              </w:rPr>
              <w:t>Acronyms</w:t>
            </w:r>
            <w:r w:rsidR="00BB1745" w:rsidRPr="00FF17EC">
              <w:rPr>
                <w:webHidden/>
              </w:rPr>
              <w:tab/>
            </w:r>
            <w:r w:rsidRPr="00FF17EC">
              <w:rPr>
                <w:webHidden/>
              </w:rPr>
              <w:fldChar w:fldCharType="begin"/>
            </w:r>
            <w:r w:rsidR="00BB1745" w:rsidRPr="00FF17EC">
              <w:rPr>
                <w:webHidden/>
              </w:rPr>
              <w:instrText xml:space="preserve"> PAGEREF _Toc383415697 \h </w:instrText>
            </w:r>
            <w:r w:rsidRPr="00FF17EC">
              <w:rPr>
                <w:webHidden/>
              </w:rPr>
            </w:r>
            <w:r w:rsidRPr="00FF17EC">
              <w:rPr>
                <w:webHidden/>
              </w:rPr>
              <w:fldChar w:fldCharType="separate"/>
            </w:r>
            <w:r w:rsidR="008E5699">
              <w:rPr>
                <w:webHidden/>
              </w:rPr>
              <w:t>1</w:t>
            </w:r>
            <w:r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698" w:history="1">
            <w:r w:rsidR="00BB1745" w:rsidRPr="00FF17EC">
              <w:rPr>
                <w:rStyle w:val="Hyperlink"/>
              </w:rPr>
              <w:t>1</w:t>
            </w:r>
            <w:r w:rsidR="00BB1745" w:rsidRPr="00FF17EC">
              <w:rPr>
                <w:rFonts w:asciiTheme="minorHAnsi" w:eastAsiaTheme="minorEastAsia" w:hAnsiTheme="minorHAnsi" w:cstheme="minorBidi"/>
                <w:b w:val="0"/>
                <w:sz w:val="22"/>
                <w:lang w:val="it-IT" w:eastAsia="it-IT"/>
              </w:rPr>
              <w:tab/>
            </w:r>
            <w:r w:rsidR="00BB1745" w:rsidRPr="00FF17EC">
              <w:rPr>
                <w:rStyle w:val="Hyperlink"/>
              </w:rPr>
              <w:t>Introduction</w:t>
            </w:r>
            <w:r w:rsidR="00BB1745" w:rsidRPr="00FF17EC">
              <w:rPr>
                <w:webHidden/>
              </w:rPr>
              <w:tab/>
            </w:r>
            <w:r w:rsidR="00085686" w:rsidRPr="00FF17EC">
              <w:rPr>
                <w:webHidden/>
              </w:rPr>
              <w:fldChar w:fldCharType="begin"/>
            </w:r>
            <w:r w:rsidR="00BB1745" w:rsidRPr="00FF17EC">
              <w:rPr>
                <w:webHidden/>
              </w:rPr>
              <w:instrText xml:space="preserve"> PAGEREF _Toc383415698 \h </w:instrText>
            </w:r>
            <w:r w:rsidR="00085686" w:rsidRPr="00FF17EC">
              <w:rPr>
                <w:webHidden/>
              </w:rPr>
            </w:r>
            <w:r w:rsidR="00085686" w:rsidRPr="00FF17EC">
              <w:rPr>
                <w:webHidden/>
              </w:rPr>
              <w:fldChar w:fldCharType="separate"/>
            </w:r>
            <w:r w:rsidR="008E5699">
              <w:rPr>
                <w:webHidden/>
              </w:rPr>
              <w:t>2</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699" w:history="1">
            <w:r w:rsidR="00BB1745" w:rsidRPr="00FF17EC">
              <w:rPr>
                <w:rStyle w:val="Hyperlink"/>
                <w:rFonts w:eastAsia="Batang"/>
              </w:rPr>
              <w:t>2</w:t>
            </w:r>
            <w:r w:rsidR="00BB1745" w:rsidRPr="00FF17EC">
              <w:rPr>
                <w:rFonts w:asciiTheme="minorHAnsi" w:eastAsiaTheme="minorEastAsia" w:hAnsiTheme="minorHAnsi" w:cstheme="minorBidi"/>
                <w:b w:val="0"/>
                <w:sz w:val="22"/>
                <w:lang w:val="it-IT" w:eastAsia="it-IT"/>
              </w:rPr>
              <w:tab/>
            </w:r>
            <w:r w:rsidR="00BB1745" w:rsidRPr="00FF17EC">
              <w:rPr>
                <w:rStyle w:val="Hyperlink"/>
                <w:rFonts w:eastAsia="Batang"/>
              </w:rPr>
              <w:t>Eligible area</w:t>
            </w:r>
            <w:r w:rsidR="00BB1745" w:rsidRPr="00FF17EC">
              <w:rPr>
                <w:webHidden/>
              </w:rPr>
              <w:tab/>
            </w:r>
            <w:r w:rsidR="00085686" w:rsidRPr="00FF17EC">
              <w:rPr>
                <w:webHidden/>
              </w:rPr>
              <w:fldChar w:fldCharType="begin"/>
            </w:r>
            <w:r w:rsidR="00BB1745" w:rsidRPr="00FF17EC">
              <w:rPr>
                <w:webHidden/>
              </w:rPr>
              <w:instrText xml:space="preserve"> PAGEREF _Toc383415699 \h </w:instrText>
            </w:r>
            <w:r w:rsidR="00085686" w:rsidRPr="00FF17EC">
              <w:rPr>
                <w:webHidden/>
              </w:rPr>
            </w:r>
            <w:r w:rsidR="00085686" w:rsidRPr="00FF17EC">
              <w:rPr>
                <w:webHidden/>
              </w:rPr>
              <w:fldChar w:fldCharType="separate"/>
            </w:r>
            <w:r w:rsidR="008E5699">
              <w:rPr>
                <w:webHidden/>
              </w:rPr>
              <w:t>4</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00" w:history="1">
            <w:r w:rsidR="00BB1745" w:rsidRPr="00FF17EC">
              <w:rPr>
                <w:rStyle w:val="Hyperlink"/>
              </w:rPr>
              <w:t>3</w:t>
            </w:r>
            <w:r w:rsidR="00BB1745" w:rsidRPr="00FF17EC">
              <w:rPr>
                <w:rFonts w:asciiTheme="minorHAnsi" w:eastAsiaTheme="minorEastAsia" w:hAnsiTheme="minorHAnsi" w:cstheme="minorBidi"/>
                <w:b w:val="0"/>
                <w:sz w:val="22"/>
                <w:lang w:val="it-IT" w:eastAsia="it-IT"/>
              </w:rPr>
              <w:tab/>
            </w:r>
            <w:r w:rsidR="00BB1745" w:rsidRPr="00FF17EC">
              <w:rPr>
                <w:rStyle w:val="Hyperlink"/>
              </w:rPr>
              <w:t>Social and demographic structure and Dynamics</w:t>
            </w:r>
            <w:r w:rsidR="00BB1745" w:rsidRPr="00FF17EC">
              <w:rPr>
                <w:webHidden/>
              </w:rPr>
              <w:tab/>
            </w:r>
            <w:r w:rsidR="00085686" w:rsidRPr="00FF17EC">
              <w:rPr>
                <w:webHidden/>
              </w:rPr>
              <w:fldChar w:fldCharType="begin"/>
            </w:r>
            <w:r w:rsidR="00BB1745" w:rsidRPr="00FF17EC">
              <w:rPr>
                <w:webHidden/>
              </w:rPr>
              <w:instrText xml:space="preserve"> PAGEREF _Toc383415700 \h </w:instrText>
            </w:r>
            <w:r w:rsidR="00085686" w:rsidRPr="00FF17EC">
              <w:rPr>
                <w:webHidden/>
              </w:rPr>
            </w:r>
            <w:r w:rsidR="00085686" w:rsidRPr="00FF17EC">
              <w:rPr>
                <w:webHidden/>
              </w:rPr>
              <w:fldChar w:fldCharType="separate"/>
            </w:r>
            <w:r w:rsidR="008E5699">
              <w:rPr>
                <w:webHidden/>
              </w:rPr>
              <w:t>9</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01" w:history="1">
            <w:r w:rsidR="00BB1745" w:rsidRPr="00FF17EC">
              <w:rPr>
                <w:rStyle w:val="Hyperlink"/>
              </w:rPr>
              <w:t>3.1</w:t>
            </w:r>
            <w:r w:rsidR="00BB1745" w:rsidRPr="00FF17EC">
              <w:rPr>
                <w:rFonts w:asciiTheme="minorHAnsi" w:eastAsiaTheme="minorEastAsia" w:hAnsiTheme="minorHAnsi" w:cstheme="minorBidi"/>
                <w:sz w:val="22"/>
                <w:lang w:val="it-IT" w:eastAsia="it-IT"/>
              </w:rPr>
              <w:tab/>
            </w:r>
            <w:r w:rsidR="00BB1745" w:rsidRPr="00FF17EC">
              <w:rPr>
                <w:rStyle w:val="Hyperlink"/>
              </w:rPr>
              <w:t>Rurality</w:t>
            </w:r>
            <w:r w:rsidR="00BB1745" w:rsidRPr="00FF17EC">
              <w:rPr>
                <w:webHidden/>
              </w:rPr>
              <w:tab/>
            </w:r>
            <w:r w:rsidR="00085686" w:rsidRPr="00FF17EC">
              <w:rPr>
                <w:webHidden/>
              </w:rPr>
              <w:fldChar w:fldCharType="begin"/>
            </w:r>
            <w:r w:rsidR="00BB1745" w:rsidRPr="00FF17EC">
              <w:rPr>
                <w:webHidden/>
              </w:rPr>
              <w:instrText xml:space="preserve"> PAGEREF _Toc383415701 \h </w:instrText>
            </w:r>
            <w:r w:rsidR="00085686" w:rsidRPr="00FF17EC">
              <w:rPr>
                <w:webHidden/>
              </w:rPr>
            </w:r>
            <w:r w:rsidR="00085686" w:rsidRPr="00FF17EC">
              <w:rPr>
                <w:webHidden/>
              </w:rPr>
              <w:fldChar w:fldCharType="separate"/>
            </w:r>
            <w:r w:rsidR="008E5699">
              <w:rPr>
                <w:webHidden/>
              </w:rPr>
              <w:t>11</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02" w:history="1">
            <w:r w:rsidR="00BB1745" w:rsidRPr="00FF17EC">
              <w:rPr>
                <w:rStyle w:val="Hyperlink"/>
              </w:rPr>
              <w:t>3.2</w:t>
            </w:r>
            <w:r w:rsidR="00BB1745" w:rsidRPr="00FF17EC">
              <w:rPr>
                <w:rFonts w:asciiTheme="minorHAnsi" w:eastAsiaTheme="minorEastAsia" w:hAnsiTheme="minorHAnsi" w:cstheme="minorBidi"/>
                <w:sz w:val="22"/>
                <w:lang w:val="it-IT" w:eastAsia="it-IT"/>
              </w:rPr>
              <w:tab/>
            </w:r>
            <w:r w:rsidR="00BB1745" w:rsidRPr="00FF17EC">
              <w:rPr>
                <w:rStyle w:val="Hyperlink"/>
              </w:rPr>
              <w:t>Ethnic Minorities</w:t>
            </w:r>
            <w:r w:rsidR="00BB1745" w:rsidRPr="00FF17EC">
              <w:rPr>
                <w:webHidden/>
              </w:rPr>
              <w:tab/>
            </w:r>
            <w:r w:rsidR="00085686" w:rsidRPr="00FF17EC">
              <w:rPr>
                <w:webHidden/>
              </w:rPr>
              <w:fldChar w:fldCharType="begin"/>
            </w:r>
            <w:r w:rsidR="00BB1745" w:rsidRPr="00FF17EC">
              <w:rPr>
                <w:webHidden/>
              </w:rPr>
              <w:instrText xml:space="preserve"> PAGEREF _Toc383415702 \h </w:instrText>
            </w:r>
            <w:r w:rsidR="00085686" w:rsidRPr="00FF17EC">
              <w:rPr>
                <w:webHidden/>
              </w:rPr>
            </w:r>
            <w:r w:rsidR="00085686" w:rsidRPr="00FF17EC">
              <w:rPr>
                <w:webHidden/>
              </w:rPr>
              <w:fldChar w:fldCharType="separate"/>
            </w:r>
            <w:r w:rsidR="008E5699">
              <w:rPr>
                <w:webHidden/>
              </w:rPr>
              <w:t>13</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03" w:history="1">
            <w:r w:rsidR="00BB1745" w:rsidRPr="00FF17EC">
              <w:rPr>
                <w:rStyle w:val="Hyperlink"/>
              </w:rPr>
              <w:t>3.3</w:t>
            </w:r>
            <w:r w:rsidR="00BB1745" w:rsidRPr="00FF17EC">
              <w:rPr>
                <w:rFonts w:asciiTheme="minorHAnsi" w:eastAsiaTheme="minorEastAsia" w:hAnsiTheme="minorHAnsi" w:cstheme="minorBidi"/>
                <w:sz w:val="22"/>
                <w:lang w:val="it-IT" w:eastAsia="it-IT"/>
              </w:rPr>
              <w:tab/>
            </w:r>
            <w:r w:rsidR="00BB1745" w:rsidRPr="00FF17EC">
              <w:rPr>
                <w:rStyle w:val="Hyperlink"/>
              </w:rPr>
              <w:t>Demographic trends</w:t>
            </w:r>
            <w:r w:rsidR="00BB1745" w:rsidRPr="00FF17EC">
              <w:rPr>
                <w:webHidden/>
              </w:rPr>
              <w:tab/>
            </w:r>
            <w:r w:rsidR="00085686" w:rsidRPr="00FF17EC">
              <w:rPr>
                <w:webHidden/>
              </w:rPr>
              <w:fldChar w:fldCharType="begin"/>
            </w:r>
            <w:r w:rsidR="00BB1745" w:rsidRPr="00FF17EC">
              <w:rPr>
                <w:webHidden/>
              </w:rPr>
              <w:instrText xml:space="preserve"> PAGEREF _Toc383415703 \h </w:instrText>
            </w:r>
            <w:r w:rsidR="00085686" w:rsidRPr="00FF17EC">
              <w:rPr>
                <w:webHidden/>
              </w:rPr>
            </w:r>
            <w:r w:rsidR="00085686" w:rsidRPr="00FF17EC">
              <w:rPr>
                <w:webHidden/>
              </w:rPr>
              <w:fldChar w:fldCharType="separate"/>
            </w:r>
            <w:r w:rsidR="008E5699">
              <w:rPr>
                <w:webHidden/>
              </w:rPr>
              <w:t>14</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04" w:history="1">
            <w:r w:rsidR="00BB1745" w:rsidRPr="00FF17EC">
              <w:rPr>
                <w:rStyle w:val="Hyperlink"/>
              </w:rPr>
              <w:t>4</w:t>
            </w:r>
            <w:r w:rsidR="00BB1745" w:rsidRPr="00FF17EC">
              <w:rPr>
                <w:rFonts w:asciiTheme="minorHAnsi" w:eastAsiaTheme="minorEastAsia" w:hAnsiTheme="minorHAnsi" w:cstheme="minorBidi"/>
                <w:b w:val="0"/>
                <w:sz w:val="22"/>
                <w:lang w:val="it-IT" w:eastAsia="it-IT"/>
              </w:rPr>
              <w:tab/>
            </w:r>
            <w:r w:rsidR="00BB1745" w:rsidRPr="00FF17EC">
              <w:rPr>
                <w:rStyle w:val="Hyperlink"/>
              </w:rPr>
              <w:t>Economic structure and dynamic</w:t>
            </w:r>
            <w:r w:rsidR="00BB1745" w:rsidRPr="00FF17EC">
              <w:rPr>
                <w:webHidden/>
              </w:rPr>
              <w:tab/>
            </w:r>
            <w:r w:rsidR="00085686" w:rsidRPr="00FF17EC">
              <w:rPr>
                <w:webHidden/>
              </w:rPr>
              <w:fldChar w:fldCharType="begin"/>
            </w:r>
            <w:r w:rsidR="00BB1745" w:rsidRPr="00FF17EC">
              <w:rPr>
                <w:webHidden/>
              </w:rPr>
              <w:instrText xml:space="preserve"> PAGEREF _Toc383415704 \h </w:instrText>
            </w:r>
            <w:r w:rsidR="00085686" w:rsidRPr="00FF17EC">
              <w:rPr>
                <w:webHidden/>
              </w:rPr>
            </w:r>
            <w:r w:rsidR="00085686" w:rsidRPr="00FF17EC">
              <w:rPr>
                <w:webHidden/>
              </w:rPr>
              <w:fldChar w:fldCharType="separate"/>
            </w:r>
            <w:r w:rsidR="008E5699">
              <w:rPr>
                <w:webHidden/>
              </w:rPr>
              <w:t>20</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05" w:history="1">
            <w:r w:rsidR="00BB1745" w:rsidRPr="00FF17EC">
              <w:rPr>
                <w:rStyle w:val="Hyperlink"/>
              </w:rPr>
              <w:t>4.1</w:t>
            </w:r>
            <w:r w:rsidR="00BB1745" w:rsidRPr="00FF17EC">
              <w:rPr>
                <w:rFonts w:asciiTheme="minorHAnsi" w:eastAsiaTheme="minorEastAsia" w:hAnsiTheme="minorHAnsi" w:cstheme="minorBidi"/>
                <w:sz w:val="22"/>
                <w:lang w:val="it-IT" w:eastAsia="it-IT"/>
              </w:rPr>
              <w:tab/>
            </w:r>
            <w:r w:rsidR="00BB1745" w:rsidRPr="00FF17EC">
              <w:rPr>
                <w:rStyle w:val="Hyperlink"/>
              </w:rPr>
              <w:t>The Economic sectors.</w:t>
            </w:r>
            <w:r w:rsidR="00BB1745" w:rsidRPr="00FF17EC">
              <w:rPr>
                <w:webHidden/>
              </w:rPr>
              <w:tab/>
            </w:r>
            <w:r w:rsidR="00085686" w:rsidRPr="00FF17EC">
              <w:rPr>
                <w:webHidden/>
              </w:rPr>
              <w:fldChar w:fldCharType="begin"/>
            </w:r>
            <w:r w:rsidR="00BB1745" w:rsidRPr="00FF17EC">
              <w:rPr>
                <w:webHidden/>
              </w:rPr>
              <w:instrText xml:space="preserve"> PAGEREF _Toc383415705 \h </w:instrText>
            </w:r>
            <w:r w:rsidR="00085686" w:rsidRPr="00FF17EC">
              <w:rPr>
                <w:webHidden/>
              </w:rPr>
            </w:r>
            <w:r w:rsidR="00085686" w:rsidRPr="00FF17EC">
              <w:rPr>
                <w:webHidden/>
              </w:rPr>
              <w:fldChar w:fldCharType="separate"/>
            </w:r>
            <w:r w:rsidR="008E5699">
              <w:rPr>
                <w:webHidden/>
              </w:rPr>
              <w:t>24</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06" w:history="1">
            <w:r w:rsidR="00BB1745" w:rsidRPr="00FF17EC">
              <w:rPr>
                <w:rStyle w:val="Hyperlink"/>
              </w:rPr>
              <w:t>4.2</w:t>
            </w:r>
            <w:r w:rsidR="00BB1745" w:rsidRPr="00FF17EC">
              <w:rPr>
                <w:rFonts w:asciiTheme="minorHAnsi" w:eastAsiaTheme="minorEastAsia" w:hAnsiTheme="minorHAnsi" w:cstheme="minorBidi"/>
                <w:sz w:val="22"/>
                <w:lang w:val="it-IT" w:eastAsia="it-IT"/>
              </w:rPr>
              <w:tab/>
            </w:r>
            <w:r w:rsidR="00BB1745" w:rsidRPr="00FF17EC">
              <w:rPr>
                <w:rStyle w:val="Hyperlink"/>
              </w:rPr>
              <w:t>Industrial infrastructures</w:t>
            </w:r>
            <w:r w:rsidR="00BB1745" w:rsidRPr="00FF17EC">
              <w:rPr>
                <w:webHidden/>
              </w:rPr>
              <w:tab/>
            </w:r>
            <w:r w:rsidR="00085686" w:rsidRPr="00FF17EC">
              <w:rPr>
                <w:webHidden/>
              </w:rPr>
              <w:fldChar w:fldCharType="begin"/>
            </w:r>
            <w:r w:rsidR="00BB1745" w:rsidRPr="00FF17EC">
              <w:rPr>
                <w:webHidden/>
              </w:rPr>
              <w:instrText xml:space="preserve"> PAGEREF _Toc383415706 \h </w:instrText>
            </w:r>
            <w:r w:rsidR="00085686" w:rsidRPr="00FF17EC">
              <w:rPr>
                <w:webHidden/>
              </w:rPr>
            </w:r>
            <w:r w:rsidR="00085686" w:rsidRPr="00FF17EC">
              <w:rPr>
                <w:webHidden/>
              </w:rPr>
              <w:fldChar w:fldCharType="separate"/>
            </w:r>
            <w:r w:rsidR="008E5699">
              <w:rPr>
                <w:webHidden/>
              </w:rPr>
              <w:t>29</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07" w:history="1">
            <w:r w:rsidR="00BB1745" w:rsidRPr="00FF17EC">
              <w:rPr>
                <w:rStyle w:val="Hyperlink"/>
              </w:rPr>
              <w:t>4.3</w:t>
            </w:r>
            <w:r w:rsidR="00BB1745" w:rsidRPr="00FF17EC">
              <w:rPr>
                <w:rFonts w:asciiTheme="minorHAnsi" w:eastAsiaTheme="minorEastAsia" w:hAnsiTheme="minorHAnsi" w:cstheme="minorBidi"/>
                <w:sz w:val="22"/>
                <w:lang w:val="it-IT" w:eastAsia="it-IT"/>
              </w:rPr>
              <w:tab/>
            </w:r>
            <w:r w:rsidR="00BB1745" w:rsidRPr="00FF17EC">
              <w:rPr>
                <w:rStyle w:val="Hyperlink"/>
              </w:rPr>
              <w:t>SMEs</w:t>
            </w:r>
            <w:r w:rsidR="00BB1745" w:rsidRPr="00FF17EC">
              <w:rPr>
                <w:webHidden/>
              </w:rPr>
              <w:tab/>
            </w:r>
            <w:r w:rsidR="00085686" w:rsidRPr="00FF17EC">
              <w:rPr>
                <w:webHidden/>
              </w:rPr>
              <w:fldChar w:fldCharType="begin"/>
            </w:r>
            <w:r w:rsidR="00BB1745" w:rsidRPr="00FF17EC">
              <w:rPr>
                <w:webHidden/>
              </w:rPr>
              <w:instrText xml:space="preserve"> PAGEREF _Toc383415707 \h </w:instrText>
            </w:r>
            <w:r w:rsidR="00085686" w:rsidRPr="00FF17EC">
              <w:rPr>
                <w:webHidden/>
              </w:rPr>
            </w:r>
            <w:r w:rsidR="00085686" w:rsidRPr="00FF17EC">
              <w:rPr>
                <w:webHidden/>
              </w:rPr>
              <w:fldChar w:fldCharType="separate"/>
            </w:r>
            <w:r w:rsidR="008E5699">
              <w:rPr>
                <w:webHidden/>
              </w:rPr>
              <w:t>30</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08" w:history="1">
            <w:r w:rsidR="00BB1745" w:rsidRPr="00FF17EC">
              <w:rPr>
                <w:rStyle w:val="Hyperlink"/>
              </w:rPr>
              <w:t>4.4</w:t>
            </w:r>
            <w:r w:rsidR="00BB1745" w:rsidRPr="00FF17EC">
              <w:rPr>
                <w:rFonts w:asciiTheme="minorHAnsi" w:eastAsiaTheme="minorEastAsia" w:hAnsiTheme="minorHAnsi" w:cstheme="minorBidi"/>
                <w:sz w:val="22"/>
                <w:lang w:val="it-IT" w:eastAsia="it-IT"/>
              </w:rPr>
              <w:tab/>
            </w:r>
            <w:r w:rsidR="00BB1745" w:rsidRPr="00FF17EC">
              <w:rPr>
                <w:rStyle w:val="Hyperlink"/>
              </w:rPr>
              <w:t>Foreign Direct Investments</w:t>
            </w:r>
            <w:r w:rsidR="00BB1745" w:rsidRPr="00FF17EC">
              <w:rPr>
                <w:webHidden/>
              </w:rPr>
              <w:tab/>
            </w:r>
            <w:r w:rsidR="00085686" w:rsidRPr="00FF17EC">
              <w:rPr>
                <w:webHidden/>
              </w:rPr>
              <w:fldChar w:fldCharType="begin"/>
            </w:r>
            <w:r w:rsidR="00BB1745" w:rsidRPr="00FF17EC">
              <w:rPr>
                <w:webHidden/>
              </w:rPr>
              <w:instrText xml:space="preserve"> PAGEREF _Toc383415708 \h </w:instrText>
            </w:r>
            <w:r w:rsidR="00085686" w:rsidRPr="00FF17EC">
              <w:rPr>
                <w:webHidden/>
              </w:rPr>
            </w:r>
            <w:r w:rsidR="00085686" w:rsidRPr="00FF17EC">
              <w:rPr>
                <w:webHidden/>
              </w:rPr>
              <w:fldChar w:fldCharType="separate"/>
            </w:r>
            <w:r w:rsidR="008E5699">
              <w:rPr>
                <w:webHidden/>
              </w:rPr>
              <w:t>33</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09" w:history="1">
            <w:r w:rsidR="00BB1745" w:rsidRPr="00FF17EC">
              <w:rPr>
                <w:rStyle w:val="Hyperlink"/>
              </w:rPr>
              <w:t>5</w:t>
            </w:r>
            <w:r w:rsidR="00BB1745" w:rsidRPr="00FF17EC">
              <w:rPr>
                <w:rFonts w:asciiTheme="minorHAnsi" w:eastAsiaTheme="minorEastAsia" w:hAnsiTheme="minorHAnsi" w:cstheme="minorBidi"/>
                <w:b w:val="0"/>
                <w:sz w:val="22"/>
                <w:lang w:val="it-IT" w:eastAsia="it-IT"/>
              </w:rPr>
              <w:tab/>
            </w:r>
            <w:r w:rsidR="00BB1745" w:rsidRPr="00FF17EC">
              <w:rPr>
                <w:rStyle w:val="Hyperlink"/>
              </w:rPr>
              <w:t>The labour market</w:t>
            </w:r>
            <w:r w:rsidR="00BB1745" w:rsidRPr="00FF17EC">
              <w:rPr>
                <w:webHidden/>
              </w:rPr>
              <w:tab/>
            </w:r>
            <w:r w:rsidR="00085686" w:rsidRPr="00FF17EC">
              <w:rPr>
                <w:webHidden/>
              </w:rPr>
              <w:fldChar w:fldCharType="begin"/>
            </w:r>
            <w:r w:rsidR="00BB1745" w:rsidRPr="00FF17EC">
              <w:rPr>
                <w:webHidden/>
              </w:rPr>
              <w:instrText xml:space="preserve"> PAGEREF _Toc383415709 \h </w:instrText>
            </w:r>
            <w:r w:rsidR="00085686" w:rsidRPr="00FF17EC">
              <w:rPr>
                <w:webHidden/>
              </w:rPr>
            </w:r>
            <w:r w:rsidR="00085686" w:rsidRPr="00FF17EC">
              <w:rPr>
                <w:webHidden/>
              </w:rPr>
              <w:fldChar w:fldCharType="separate"/>
            </w:r>
            <w:r w:rsidR="008E5699">
              <w:rPr>
                <w:webHidden/>
              </w:rPr>
              <w:t>35</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10" w:history="1">
            <w:r w:rsidR="00BB1745" w:rsidRPr="00FF17EC">
              <w:rPr>
                <w:rStyle w:val="Hyperlink"/>
                <w:lang w:val="en-US" w:eastAsia="it-IT"/>
              </w:rPr>
              <w:t>5.1</w:t>
            </w:r>
            <w:r w:rsidR="00BB1745" w:rsidRPr="00FF17EC">
              <w:rPr>
                <w:rFonts w:asciiTheme="minorHAnsi" w:eastAsiaTheme="minorEastAsia" w:hAnsiTheme="minorHAnsi" w:cstheme="minorBidi"/>
                <w:sz w:val="22"/>
                <w:lang w:val="it-IT" w:eastAsia="it-IT"/>
              </w:rPr>
              <w:tab/>
            </w:r>
            <w:r w:rsidR="00BB1745" w:rsidRPr="00FF17EC">
              <w:rPr>
                <w:rStyle w:val="Hyperlink"/>
                <w:lang w:val="en-US" w:eastAsia="it-IT"/>
              </w:rPr>
              <w:t>Education, entrepreneurial development and access to labor market.</w:t>
            </w:r>
            <w:r w:rsidR="00BB1745" w:rsidRPr="00FF17EC">
              <w:rPr>
                <w:webHidden/>
              </w:rPr>
              <w:tab/>
            </w:r>
            <w:r w:rsidR="00085686" w:rsidRPr="00FF17EC">
              <w:rPr>
                <w:webHidden/>
              </w:rPr>
              <w:fldChar w:fldCharType="begin"/>
            </w:r>
            <w:r w:rsidR="00BB1745" w:rsidRPr="00FF17EC">
              <w:rPr>
                <w:webHidden/>
              </w:rPr>
              <w:instrText xml:space="preserve"> PAGEREF _Toc383415710 \h </w:instrText>
            </w:r>
            <w:r w:rsidR="00085686" w:rsidRPr="00FF17EC">
              <w:rPr>
                <w:webHidden/>
              </w:rPr>
            </w:r>
            <w:r w:rsidR="00085686" w:rsidRPr="00FF17EC">
              <w:rPr>
                <w:webHidden/>
              </w:rPr>
              <w:fldChar w:fldCharType="separate"/>
            </w:r>
            <w:r w:rsidR="008E5699">
              <w:rPr>
                <w:webHidden/>
              </w:rPr>
              <w:t>41</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11" w:history="1">
            <w:r w:rsidR="00BB1745" w:rsidRPr="00FF17EC">
              <w:rPr>
                <w:rStyle w:val="Hyperlink"/>
              </w:rPr>
              <w:t>5.2</w:t>
            </w:r>
            <w:r w:rsidR="00BB1745" w:rsidRPr="00FF17EC">
              <w:rPr>
                <w:rFonts w:asciiTheme="minorHAnsi" w:eastAsiaTheme="minorEastAsia" w:hAnsiTheme="minorHAnsi" w:cstheme="minorBidi"/>
                <w:sz w:val="22"/>
                <w:lang w:val="it-IT" w:eastAsia="it-IT"/>
              </w:rPr>
              <w:tab/>
            </w:r>
            <w:r w:rsidR="00BB1745" w:rsidRPr="00FF17EC">
              <w:rPr>
                <w:rStyle w:val="Hyperlink"/>
              </w:rPr>
              <w:t>Social inclusion and Poverty</w:t>
            </w:r>
            <w:r w:rsidR="00BB1745" w:rsidRPr="00FF17EC">
              <w:rPr>
                <w:webHidden/>
              </w:rPr>
              <w:tab/>
            </w:r>
            <w:r w:rsidR="00085686" w:rsidRPr="00FF17EC">
              <w:rPr>
                <w:webHidden/>
              </w:rPr>
              <w:fldChar w:fldCharType="begin"/>
            </w:r>
            <w:r w:rsidR="00BB1745" w:rsidRPr="00FF17EC">
              <w:rPr>
                <w:webHidden/>
              </w:rPr>
              <w:instrText xml:space="preserve"> PAGEREF _Toc383415711 \h </w:instrText>
            </w:r>
            <w:r w:rsidR="00085686" w:rsidRPr="00FF17EC">
              <w:rPr>
                <w:webHidden/>
              </w:rPr>
            </w:r>
            <w:r w:rsidR="00085686" w:rsidRPr="00FF17EC">
              <w:rPr>
                <w:webHidden/>
              </w:rPr>
              <w:fldChar w:fldCharType="separate"/>
            </w:r>
            <w:r w:rsidR="008E5699">
              <w:rPr>
                <w:webHidden/>
              </w:rPr>
              <w:t>44</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12" w:history="1">
            <w:r w:rsidR="00BB1745" w:rsidRPr="00FF17EC">
              <w:rPr>
                <w:rStyle w:val="Hyperlink"/>
              </w:rPr>
              <w:t>6</w:t>
            </w:r>
            <w:r w:rsidR="00BB1745" w:rsidRPr="00FF17EC">
              <w:rPr>
                <w:rFonts w:asciiTheme="minorHAnsi" w:eastAsiaTheme="minorEastAsia" w:hAnsiTheme="minorHAnsi" w:cstheme="minorBidi"/>
                <w:b w:val="0"/>
                <w:sz w:val="22"/>
                <w:lang w:val="it-IT" w:eastAsia="it-IT"/>
              </w:rPr>
              <w:tab/>
            </w:r>
            <w:r w:rsidR="00BB1745" w:rsidRPr="00FF17EC">
              <w:rPr>
                <w:rStyle w:val="Hyperlink"/>
              </w:rPr>
              <w:t>Health care services</w:t>
            </w:r>
            <w:r w:rsidR="00BB1745" w:rsidRPr="00FF17EC">
              <w:rPr>
                <w:webHidden/>
              </w:rPr>
              <w:tab/>
            </w:r>
            <w:r w:rsidR="00085686" w:rsidRPr="00FF17EC">
              <w:rPr>
                <w:webHidden/>
              </w:rPr>
              <w:fldChar w:fldCharType="begin"/>
            </w:r>
            <w:r w:rsidR="00BB1745" w:rsidRPr="00FF17EC">
              <w:rPr>
                <w:webHidden/>
              </w:rPr>
              <w:instrText xml:space="preserve"> PAGEREF _Toc383415712 \h </w:instrText>
            </w:r>
            <w:r w:rsidR="00085686" w:rsidRPr="00FF17EC">
              <w:rPr>
                <w:webHidden/>
              </w:rPr>
            </w:r>
            <w:r w:rsidR="00085686" w:rsidRPr="00FF17EC">
              <w:rPr>
                <w:webHidden/>
              </w:rPr>
              <w:fldChar w:fldCharType="separate"/>
            </w:r>
            <w:r w:rsidR="008E5699">
              <w:rPr>
                <w:webHidden/>
              </w:rPr>
              <w:t>48</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13" w:history="1">
            <w:r w:rsidR="00BB1745" w:rsidRPr="00FF17EC">
              <w:rPr>
                <w:rStyle w:val="Hyperlink"/>
              </w:rPr>
              <w:t>7</w:t>
            </w:r>
            <w:r w:rsidR="00BB1745" w:rsidRPr="00FF17EC">
              <w:rPr>
                <w:rFonts w:asciiTheme="minorHAnsi" w:eastAsiaTheme="minorEastAsia" w:hAnsiTheme="minorHAnsi" w:cstheme="minorBidi"/>
                <w:b w:val="0"/>
                <w:sz w:val="22"/>
                <w:lang w:val="it-IT" w:eastAsia="it-IT"/>
              </w:rPr>
              <w:tab/>
            </w:r>
            <w:r w:rsidR="00BB1745" w:rsidRPr="00FF17EC">
              <w:rPr>
                <w:rStyle w:val="Hyperlink"/>
              </w:rPr>
              <w:t>Public Transport and ICT infrastructures</w:t>
            </w:r>
            <w:r w:rsidR="00BB1745" w:rsidRPr="00FF17EC">
              <w:rPr>
                <w:webHidden/>
              </w:rPr>
              <w:tab/>
            </w:r>
            <w:r w:rsidR="00085686" w:rsidRPr="00FF17EC">
              <w:rPr>
                <w:webHidden/>
              </w:rPr>
              <w:fldChar w:fldCharType="begin"/>
            </w:r>
            <w:r w:rsidR="00BB1745" w:rsidRPr="00FF17EC">
              <w:rPr>
                <w:webHidden/>
              </w:rPr>
              <w:instrText xml:space="preserve"> PAGEREF _Toc383415713 \h </w:instrText>
            </w:r>
            <w:r w:rsidR="00085686" w:rsidRPr="00FF17EC">
              <w:rPr>
                <w:webHidden/>
              </w:rPr>
            </w:r>
            <w:r w:rsidR="00085686" w:rsidRPr="00FF17EC">
              <w:rPr>
                <w:webHidden/>
              </w:rPr>
              <w:fldChar w:fldCharType="separate"/>
            </w:r>
            <w:r w:rsidR="008E5699">
              <w:rPr>
                <w:webHidden/>
              </w:rPr>
              <w:t>51</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14" w:history="1">
            <w:r w:rsidR="00BB1745" w:rsidRPr="00FF17EC">
              <w:rPr>
                <w:rStyle w:val="Hyperlink"/>
              </w:rPr>
              <w:t>7.1</w:t>
            </w:r>
            <w:r w:rsidR="00BB1745" w:rsidRPr="00FF17EC">
              <w:rPr>
                <w:rFonts w:asciiTheme="minorHAnsi" w:eastAsiaTheme="minorEastAsia" w:hAnsiTheme="minorHAnsi" w:cstheme="minorBidi"/>
                <w:sz w:val="22"/>
                <w:lang w:val="it-IT" w:eastAsia="it-IT"/>
              </w:rPr>
              <w:tab/>
            </w:r>
            <w:r w:rsidR="00BB1745" w:rsidRPr="00FF17EC">
              <w:rPr>
                <w:rStyle w:val="Hyperlink"/>
              </w:rPr>
              <w:t>The eligible area in the European Networks</w:t>
            </w:r>
            <w:r w:rsidR="00BB1745" w:rsidRPr="00FF17EC">
              <w:rPr>
                <w:webHidden/>
              </w:rPr>
              <w:tab/>
            </w:r>
            <w:r w:rsidR="00085686" w:rsidRPr="00FF17EC">
              <w:rPr>
                <w:webHidden/>
              </w:rPr>
              <w:fldChar w:fldCharType="begin"/>
            </w:r>
            <w:r w:rsidR="00BB1745" w:rsidRPr="00FF17EC">
              <w:rPr>
                <w:webHidden/>
              </w:rPr>
              <w:instrText xml:space="preserve"> PAGEREF _Toc383415714 \h </w:instrText>
            </w:r>
            <w:r w:rsidR="00085686" w:rsidRPr="00FF17EC">
              <w:rPr>
                <w:webHidden/>
              </w:rPr>
            </w:r>
            <w:r w:rsidR="00085686" w:rsidRPr="00FF17EC">
              <w:rPr>
                <w:webHidden/>
              </w:rPr>
              <w:fldChar w:fldCharType="separate"/>
            </w:r>
            <w:r w:rsidR="008E5699">
              <w:rPr>
                <w:webHidden/>
              </w:rPr>
              <w:t>51</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15" w:history="1">
            <w:r w:rsidR="00BB1745" w:rsidRPr="00FF17EC">
              <w:rPr>
                <w:rStyle w:val="Hyperlink"/>
              </w:rPr>
              <w:t>7.2</w:t>
            </w:r>
            <w:r w:rsidR="00BB1745" w:rsidRPr="00FF17EC">
              <w:rPr>
                <w:rFonts w:asciiTheme="minorHAnsi" w:eastAsiaTheme="minorEastAsia" w:hAnsiTheme="minorHAnsi" w:cstheme="minorBidi"/>
                <w:sz w:val="22"/>
                <w:lang w:val="it-IT" w:eastAsia="it-IT"/>
              </w:rPr>
              <w:tab/>
            </w:r>
            <w:r w:rsidR="00BB1745" w:rsidRPr="00FF17EC">
              <w:rPr>
                <w:rStyle w:val="Hyperlink"/>
              </w:rPr>
              <w:t>Internal Transport network and accessibility</w:t>
            </w:r>
            <w:r w:rsidR="00BB1745" w:rsidRPr="00FF17EC">
              <w:rPr>
                <w:webHidden/>
              </w:rPr>
              <w:tab/>
            </w:r>
            <w:r w:rsidR="00085686" w:rsidRPr="00FF17EC">
              <w:rPr>
                <w:webHidden/>
              </w:rPr>
              <w:fldChar w:fldCharType="begin"/>
            </w:r>
            <w:r w:rsidR="00BB1745" w:rsidRPr="00FF17EC">
              <w:rPr>
                <w:webHidden/>
              </w:rPr>
              <w:instrText xml:space="preserve"> PAGEREF _Toc383415715 \h </w:instrText>
            </w:r>
            <w:r w:rsidR="00085686" w:rsidRPr="00FF17EC">
              <w:rPr>
                <w:webHidden/>
              </w:rPr>
            </w:r>
            <w:r w:rsidR="00085686" w:rsidRPr="00FF17EC">
              <w:rPr>
                <w:webHidden/>
              </w:rPr>
              <w:fldChar w:fldCharType="separate"/>
            </w:r>
            <w:r w:rsidR="008E5699">
              <w:rPr>
                <w:webHidden/>
              </w:rPr>
              <w:t>56</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16" w:history="1">
            <w:r w:rsidR="00BB1745" w:rsidRPr="00FF17EC">
              <w:rPr>
                <w:rStyle w:val="Hyperlink"/>
              </w:rPr>
              <w:t>7.3</w:t>
            </w:r>
            <w:r w:rsidR="00BB1745" w:rsidRPr="00FF17EC">
              <w:rPr>
                <w:rFonts w:asciiTheme="minorHAnsi" w:eastAsiaTheme="minorEastAsia" w:hAnsiTheme="minorHAnsi" w:cstheme="minorBidi"/>
                <w:sz w:val="22"/>
                <w:lang w:val="it-IT" w:eastAsia="it-IT"/>
              </w:rPr>
              <w:tab/>
            </w:r>
            <w:r w:rsidR="00BB1745" w:rsidRPr="00FF17EC">
              <w:rPr>
                <w:rStyle w:val="Hyperlink"/>
              </w:rPr>
              <w:t>Cross border points accessibility and flows</w:t>
            </w:r>
            <w:r w:rsidR="00BB1745" w:rsidRPr="00FF17EC">
              <w:rPr>
                <w:webHidden/>
              </w:rPr>
              <w:tab/>
            </w:r>
            <w:r w:rsidR="00085686" w:rsidRPr="00FF17EC">
              <w:rPr>
                <w:webHidden/>
              </w:rPr>
              <w:fldChar w:fldCharType="begin"/>
            </w:r>
            <w:r w:rsidR="00BB1745" w:rsidRPr="00FF17EC">
              <w:rPr>
                <w:webHidden/>
              </w:rPr>
              <w:instrText xml:space="preserve"> PAGEREF _Toc383415716 \h </w:instrText>
            </w:r>
            <w:r w:rsidR="00085686" w:rsidRPr="00FF17EC">
              <w:rPr>
                <w:webHidden/>
              </w:rPr>
            </w:r>
            <w:r w:rsidR="00085686" w:rsidRPr="00FF17EC">
              <w:rPr>
                <w:webHidden/>
              </w:rPr>
              <w:fldChar w:fldCharType="separate"/>
            </w:r>
            <w:r w:rsidR="008E5699">
              <w:rPr>
                <w:webHidden/>
              </w:rPr>
              <w:t>58</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17" w:history="1">
            <w:r w:rsidR="00BB1745" w:rsidRPr="00FF17EC">
              <w:rPr>
                <w:rStyle w:val="Hyperlink"/>
              </w:rPr>
              <w:t>7.4</w:t>
            </w:r>
            <w:r w:rsidR="00BB1745" w:rsidRPr="00FF17EC">
              <w:rPr>
                <w:rFonts w:asciiTheme="minorHAnsi" w:eastAsiaTheme="minorEastAsia" w:hAnsiTheme="minorHAnsi" w:cstheme="minorBidi"/>
                <w:sz w:val="22"/>
                <w:lang w:val="it-IT" w:eastAsia="it-IT"/>
              </w:rPr>
              <w:tab/>
            </w:r>
            <w:r w:rsidR="00BB1745" w:rsidRPr="00FF17EC">
              <w:rPr>
                <w:rStyle w:val="Hyperlink"/>
              </w:rPr>
              <w:t>E-Society and digital divide</w:t>
            </w:r>
            <w:r w:rsidR="00BB1745" w:rsidRPr="00FF17EC">
              <w:rPr>
                <w:webHidden/>
              </w:rPr>
              <w:tab/>
            </w:r>
            <w:r w:rsidR="00085686" w:rsidRPr="00FF17EC">
              <w:rPr>
                <w:webHidden/>
              </w:rPr>
              <w:fldChar w:fldCharType="begin"/>
            </w:r>
            <w:r w:rsidR="00BB1745" w:rsidRPr="00FF17EC">
              <w:rPr>
                <w:webHidden/>
              </w:rPr>
              <w:instrText xml:space="preserve"> PAGEREF _Toc383415717 \h </w:instrText>
            </w:r>
            <w:r w:rsidR="00085686" w:rsidRPr="00FF17EC">
              <w:rPr>
                <w:webHidden/>
              </w:rPr>
            </w:r>
            <w:r w:rsidR="00085686" w:rsidRPr="00FF17EC">
              <w:rPr>
                <w:webHidden/>
              </w:rPr>
              <w:fldChar w:fldCharType="separate"/>
            </w:r>
            <w:r w:rsidR="008E5699">
              <w:rPr>
                <w:webHidden/>
              </w:rPr>
              <w:t>60</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18" w:history="1">
            <w:r w:rsidR="00BB1745" w:rsidRPr="00FF17EC">
              <w:rPr>
                <w:rStyle w:val="Hyperlink"/>
              </w:rPr>
              <w:t>8</w:t>
            </w:r>
            <w:r w:rsidR="00BB1745" w:rsidRPr="00FF17EC">
              <w:rPr>
                <w:rFonts w:asciiTheme="minorHAnsi" w:eastAsiaTheme="minorEastAsia" w:hAnsiTheme="minorHAnsi" w:cstheme="minorBidi"/>
                <w:b w:val="0"/>
                <w:sz w:val="22"/>
                <w:lang w:val="it-IT" w:eastAsia="it-IT"/>
              </w:rPr>
              <w:tab/>
            </w:r>
            <w:r w:rsidR="00BB1745" w:rsidRPr="00FF17EC">
              <w:rPr>
                <w:rStyle w:val="Hyperlink"/>
              </w:rPr>
              <w:t>Environmental resources and infrastructures</w:t>
            </w:r>
            <w:r w:rsidR="00BB1745" w:rsidRPr="00FF17EC">
              <w:rPr>
                <w:webHidden/>
              </w:rPr>
              <w:tab/>
            </w:r>
            <w:r w:rsidR="00085686" w:rsidRPr="00FF17EC">
              <w:rPr>
                <w:webHidden/>
              </w:rPr>
              <w:fldChar w:fldCharType="begin"/>
            </w:r>
            <w:r w:rsidR="00BB1745" w:rsidRPr="00FF17EC">
              <w:rPr>
                <w:webHidden/>
              </w:rPr>
              <w:instrText xml:space="preserve"> PAGEREF _Toc383415718 \h </w:instrText>
            </w:r>
            <w:r w:rsidR="00085686" w:rsidRPr="00FF17EC">
              <w:rPr>
                <w:webHidden/>
              </w:rPr>
            </w:r>
            <w:r w:rsidR="00085686" w:rsidRPr="00FF17EC">
              <w:rPr>
                <w:webHidden/>
              </w:rPr>
              <w:fldChar w:fldCharType="separate"/>
            </w:r>
            <w:r w:rsidR="008E5699">
              <w:rPr>
                <w:webHidden/>
              </w:rPr>
              <w:t>62</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19" w:history="1">
            <w:r w:rsidR="00BB1745" w:rsidRPr="00FF17EC">
              <w:rPr>
                <w:rStyle w:val="Hyperlink"/>
              </w:rPr>
              <w:t>8.1</w:t>
            </w:r>
            <w:r w:rsidR="00BB1745" w:rsidRPr="00FF17EC">
              <w:rPr>
                <w:rFonts w:asciiTheme="minorHAnsi" w:eastAsiaTheme="minorEastAsia" w:hAnsiTheme="minorHAnsi" w:cstheme="minorBidi"/>
                <w:sz w:val="22"/>
                <w:lang w:val="it-IT" w:eastAsia="it-IT"/>
              </w:rPr>
              <w:tab/>
            </w:r>
            <w:r w:rsidR="00BB1745" w:rsidRPr="00FF17EC">
              <w:rPr>
                <w:rStyle w:val="Hyperlink"/>
              </w:rPr>
              <w:t>Land uses</w:t>
            </w:r>
            <w:r w:rsidR="00BB1745" w:rsidRPr="00FF17EC">
              <w:rPr>
                <w:webHidden/>
              </w:rPr>
              <w:tab/>
            </w:r>
            <w:r w:rsidR="00085686" w:rsidRPr="00FF17EC">
              <w:rPr>
                <w:webHidden/>
              </w:rPr>
              <w:fldChar w:fldCharType="begin"/>
            </w:r>
            <w:r w:rsidR="00BB1745" w:rsidRPr="00FF17EC">
              <w:rPr>
                <w:webHidden/>
              </w:rPr>
              <w:instrText xml:space="preserve"> PAGEREF _Toc383415719 \h </w:instrText>
            </w:r>
            <w:r w:rsidR="00085686" w:rsidRPr="00FF17EC">
              <w:rPr>
                <w:webHidden/>
              </w:rPr>
            </w:r>
            <w:r w:rsidR="00085686" w:rsidRPr="00FF17EC">
              <w:rPr>
                <w:webHidden/>
              </w:rPr>
              <w:fldChar w:fldCharType="separate"/>
            </w:r>
            <w:r w:rsidR="008E5699">
              <w:rPr>
                <w:webHidden/>
              </w:rPr>
              <w:t>63</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20" w:history="1">
            <w:r w:rsidR="00BB1745" w:rsidRPr="00FF17EC">
              <w:rPr>
                <w:rStyle w:val="Hyperlink"/>
              </w:rPr>
              <w:t>8.2</w:t>
            </w:r>
            <w:r w:rsidR="00BB1745" w:rsidRPr="00FF17EC">
              <w:rPr>
                <w:rFonts w:asciiTheme="minorHAnsi" w:eastAsiaTheme="minorEastAsia" w:hAnsiTheme="minorHAnsi" w:cstheme="minorBidi"/>
                <w:sz w:val="22"/>
                <w:lang w:val="it-IT" w:eastAsia="it-IT"/>
              </w:rPr>
              <w:tab/>
            </w:r>
            <w:r w:rsidR="00BB1745" w:rsidRPr="00FF17EC">
              <w:rPr>
                <w:rStyle w:val="Hyperlink"/>
              </w:rPr>
              <w:t>Natural and cultural resources</w:t>
            </w:r>
            <w:r w:rsidR="00BB1745" w:rsidRPr="00FF17EC">
              <w:rPr>
                <w:webHidden/>
              </w:rPr>
              <w:tab/>
            </w:r>
            <w:r w:rsidR="00085686" w:rsidRPr="00FF17EC">
              <w:rPr>
                <w:webHidden/>
              </w:rPr>
              <w:fldChar w:fldCharType="begin"/>
            </w:r>
            <w:r w:rsidR="00BB1745" w:rsidRPr="00FF17EC">
              <w:rPr>
                <w:webHidden/>
              </w:rPr>
              <w:instrText xml:space="preserve"> PAGEREF _Toc383415720 \h </w:instrText>
            </w:r>
            <w:r w:rsidR="00085686" w:rsidRPr="00FF17EC">
              <w:rPr>
                <w:webHidden/>
              </w:rPr>
            </w:r>
            <w:r w:rsidR="00085686" w:rsidRPr="00FF17EC">
              <w:rPr>
                <w:webHidden/>
              </w:rPr>
              <w:fldChar w:fldCharType="separate"/>
            </w:r>
            <w:r w:rsidR="008E5699">
              <w:rPr>
                <w:webHidden/>
              </w:rPr>
              <w:t>64</w:t>
            </w:r>
            <w:r w:rsidR="00085686" w:rsidRPr="00FF17EC">
              <w:rPr>
                <w:webHidden/>
              </w:rPr>
              <w:fldChar w:fldCharType="end"/>
            </w:r>
          </w:hyperlink>
        </w:p>
        <w:p w:rsidR="00BB1745" w:rsidRPr="00FF17EC" w:rsidRDefault="00DD3A65" w:rsidP="00BB1745">
          <w:pPr>
            <w:pStyle w:val="TOC2"/>
            <w:ind w:right="2316"/>
            <w:rPr>
              <w:rFonts w:asciiTheme="minorHAnsi" w:eastAsiaTheme="minorEastAsia" w:hAnsiTheme="minorHAnsi" w:cstheme="minorBidi"/>
              <w:sz w:val="22"/>
              <w:lang w:val="it-IT" w:eastAsia="it-IT"/>
            </w:rPr>
          </w:pPr>
          <w:hyperlink w:anchor="_Toc383415721" w:history="1">
            <w:r w:rsidR="00BB1745" w:rsidRPr="00FF17EC">
              <w:rPr>
                <w:rStyle w:val="Hyperlink"/>
              </w:rPr>
              <w:t>8.3</w:t>
            </w:r>
            <w:r w:rsidR="00BB1745" w:rsidRPr="00FF17EC">
              <w:rPr>
                <w:rFonts w:asciiTheme="minorHAnsi" w:eastAsiaTheme="minorEastAsia" w:hAnsiTheme="minorHAnsi" w:cstheme="minorBidi"/>
                <w:sz w:val="22"/>
                <w:lang w:val="it-IT" w:eastAsia="it-IT"/>
              </w:rPr>
              <w:tab/>
            </w:r>
            <w:r w:rsidR="00BB1745" w:rsidRPr="00FF17EC">
              <w:rPr>
                <w:rStyle w:val="Hyperlink"/>
              </w:rPr>
              <w:t>Environmental protection, water and  Water and waste management, public utilities</w:t>
            </w:r>
            <w:r w:rsidR="00BB1745" w:rsidRPr="00FF17EC">
              <w:rPr>
                <w:webHidden/>
              </w:rPr>
              <w:tab/>
            </w:r>
            <w:r w:rsidR="00085686" w:rsidRPr="00FF17EC">
              <w:rPr>
                <w:webHidden/>
              </w:rPr>
              <w:fldChar w:fldCharType="begin"/>
            </w:r>
            <w:r w:rsidR="00BB1745" w:rsidRPr="00FF17EC">
              <w:rPr>
                <w:webHidden/>
              </w:rPr>
              <w:instrText xml:space="preserve"> PAGEREF _Toc383415721 \h </w:instrText>
            </w:r>
            <w:r w:rsidR="00085686" w:rsidRPr="00FF17EC">
              <w:rPr>
                <w:webHidden/>
              </w:rPr>
            </w:r>
            <w:r w:rsidR="00085686" w:rsidRPr="00FF17EC">
              <w:rPr>
                <w:webHidden/>
              </w:rPr>
              <w:fldChar w:fldCharType="separate"/>
            </w:r>
            <w:r w:rsidR="008E5699">
              <w:rPr>
                <w:webHidden/>
              </w:rPr>
              <w:t>69</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22" w:history="1">
            <w:r w:rsidR="00BB1745" w:rsidRPr="00FF17EC">
              <w:rPr>
                <w:rStyle w:val="Hyperlink"/>
              </w:rPr>
              <w:t>8.4</w:t>
            </w:r>
            <w:r w:rsidR="00BB1745" w:rsidRPr="00FF17EC">
              <w:rPr>
                <w:rFonts w:asciiTheme="minorHAnsi" w:eastAsiaTheme="minorEastAsia" w:hAnsiTheme="minorHAnsi" w:cstheme="minorBidi"/>
                <w:sz w:val="22"/>
                <w:lang w:val="it-IT" w:eastAsia="it-IT"/>
              </w:rPr>
              <w:tab/>
            </w:r>
            <w:r w:rsidR="00BB1745" w:rsidRPr="00FF17EC">
              <w:rPr>
                <w:rStyle w:val="Hyperlink"/>
              </w:rPr>
              <w:t>Environmental hotspots and risks</w:t>
            </w:r>
            <w:r w:rsidR="00BB1745" w:rsidRPr="00FF17EC">
              <w:rPr>
                <w:webHidden/>
              </w:rPr>
              <w:tab/>
            </w:r>
            <w:r w:rsidR="00085686" w:rsidRPr="00FF17EC">
              <w:rPr>
                <w:webHidden/>
              </w:rPr>
              <w:fldChar w:fldCharType="begin"/>
            </w:r>
            <w:r w:rsidR="00BB1745" w:rsidRPr="00FF17EC">
              <w:rPr>
                <w:webHidden/>
              </w:rPr>
              <w:instrText xml:space="preserve"> PAGEREF _Toc383415722 \h </w:instrText>
            </w:r>
            <w:r w:rsidR="00085686" w:rsidRPr="00FF17EC">
              <w:rPr>
                <w:webHidden/>
              </w:rPr>
            </w:r>
            <w:r w:rsidR="00085686" w:rsidRPr="00FF17EC">
              <w:rPr>
                <w:webHidden/>
              </w:rPr>
              <w:fldChar w:fldCharType="separate"/>
            </w:r>
            <w:r w:rsidR="008E5699">
              <w:rPr>
                <w:webHidden/>
              </w:rPr>
              <w:t>75</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23" w:history="1">
            <w:r w:rsidR="00BB1745" w:rsidRPr="00FF17EC">
              <w:rPr>
                <w:rStyle w:val="Hyperlink"/>
              </w:rPr>
              <w:t>9</w:t>
            </w:r>
            <w:r w:rsidR="00BB1745" w:rsidRPr="00FF17EC">
              <w:rPr>
                <w:rFonts w:asciiTheme="minorHAnsi" w:eastAsiaTheme="minorEastAsia" w:hAnsiTheme="minorHAnsi" w:cstheme="minorBidi"/>
                <w:b w:val="0"/>
                <w:sz w:val="22"/>
                <w:lang w:val="it-IT" w:eastAsia="it-IT"/>
              </w:rPr>
              <w:tab/>
            </w:r>
            <w:r w:rsidR="00BB1745" w:rsidRPr="00FF17EC">
              <w:rPr>
                <w:rStyle w:val="Hyperlink"/>
              </w:rPr>
              <w:t>Tourism</w:t>
            </w:r>
            <w:r w:rsidR="00BB1745" w:rsidRPr="00FF17EC">
              <w:rPr>
                <w:webHidden/>
              </w:rPr>
              <w:tab/>
            </w:r>
            <w:r w:rsidR="00085686" w:rsidRPr="00FF17EC">
              <w:rPr>
                <w:webHidden/>
              </w:rPr>
              <w:fldChar w:fldCharType="begin"/>
            </w:r>
            <w:r w:rsidR="00BB1745" w:rsidRPr="00FF17EC">
              <w:rPr>
                <w:webHidden/>
              </w:rPr>
              <w:instrText xml:space="preserve"> PAGEREF _Toc383415723 \h </w:instrText>
            </w:r>
            <w:r w:rsidR="00085686" w:rsidRPr="00FF17EC">
              <w:rPr>
                <w:webHidden/>
              </w:rPr>
            </w:r>
            <w:r w:rsidR="00085686" w:rsidRPr="00FF17EC">
              <w:rPr>
                <w:webHidden/>
              </w:rPr>
              <w:fldChar w:fldCharType="separate"/>
            </w:r>
            <w:r w:rsidR="008E5699">
              <w:rPr>
                <w:webHidden/>
              </w:rPr>
              <w:t>80</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24" w:history="1">
            <w:r w:rsidR="00BB1745" w:rsidRPr="00FF17EC">
              <w:rPr>
                <w:rStyle w:val="Hyperlink"/>
              </w:rPr>
              <w:t>10</w:t>
            </w:r>
            <w:r w:rsidR="00EE702C" w:rsidRPr="00FF17EC">
              <w:rPr>
                <w:rStyle w:val="Hyperlink"/>
              </w:rPr>
              <w:t xml:space="preserve"> </w:t>
            </w:r>
            <w:r w:rsidR="00BB1745" w:rsidRPr="00FF17EC">
              <w:rPr>
                <w:rStyle w:val="Hyperlink"/>
              </w:rPr>
              <w:t>Education, research and innovation</w:t>
            </w:r>
            <w:r w:rsidR="00BB1745" w:rsidRPr="00FF17EC">
              <w:rPr>
                <w:webHidden/>
              </w:rPr>
              <w:tab/>
            </w:r>
            <w:r w:rsidR="00085686" w:rsidRPr="00FF17EC">
              <w:rPr>
                <w:webHidden/>
              </w:rPr>
              <w:fldChar w:fldCharType="begin"/>
            </w:r>
            <w:r w:rsidR="00BB1745" w:rsidRPr="00FF17EC">
              <w:rPr>
                <w:webHidden/>
              </w:rPr>
              <w:instrText xml:space="preserve"> PAGEREF _Toc383415724 \h </w:instrText>
            </w:r>
            <w:r w:rsidR="00085686" w:rsidRPr="00FF17EC">
              <w:rPr>
                <w:webHidden/>
              </w:rPr>
            </w:r>
            <w:r w:rsidR="00085686" w:rsidRPr="00FF17EC">
              <w:rPr>
                <w:webHidden/>
              </w:rPr>
              <w:fldChar w:fldCharType="separate"/>
            </w:r>
            <w:r w:rsidR="008E5699">
              <w:rPr>
                <w:webHidden/>
              </w:rPr>
              <w:t>88</w:t>
            </w:r>
            <w:r w:rsidR="00085686" w:rsidRPr="00FF17EC">
              <w:rPr>
                <w:webHidden/>
              </w:rPr>
              <w:fldChar w:fldCharType="end"/>
            </w:r>
          </w:hyperlink>
        </w:p>
        <w:p w:rsidR="00BB1745" w:rsidRPr="00FF17EC" w:rsidRDefault="00DD3A65">
          <w:pPr>
            <w:pStyle w:val="TOC2"/>
            <w:rPr>
              <w:rFonts w:asciiTheme="minorHAnsi" w:eastAsiaTheme="minorEastAsia" w:hAnsiTheme="minorHAnsi" w:cstheme="minorBidi"/>
              <w:sz w:val="22"/>
              <w:lang w:val="it-IT" w:eastAsia="it-IT"/>
            </w:rPr>
          </w:pPr>
          <w:hyperlink w:anchor="_Toc383415725" w:history="1">
            <w:r w:rsidR="00BB1745" w:rsidRPr="00FF17EC">
              <w:rPr>
                <w:rStyle w:val="Hyperlink"/>
              </w:rPr>
              <w:t>10.2</w:t>
            </w:r>
            <w:r w:rsidR="00BB1745" w:rsidRPr="00FF17EC">
              <w:rPr>
                <w:rFonts w:asciiTheme="minorHAnsi" w:eastAsiaTheme="minorEastAsia" w:hAnsiTheme="minorHAnsi" w:cstheme="minorBidi"/>
                <w:sz w:val="22"/>
                <w:lang w:val="it-IT" w:eastAsia="it-IT"/>
              </w:rPr>
              <w:tab/>
            </w:r>
            <w:r w:rsidR="00BB1745" w:rsidRPr="00FF17EC">
              <w:rPr>
                <w:rStyle w:val="Hyperlink"/>
              </w:rPr>
              <w:t>Smart specialization</w:t>
            </w:r>
            <w:r w:rsidR="00BB1745" w:rsidRPr="00FF17EC">
              <w:rPr>
                <w:webHidden/>
              </w:rPr>
              <w:tab/>
            </w:r>
            <w:r w:rsidR="00085686" w:rsidRPr="00FF17EC">
              <w:rPr>
                <w:webHidden/>
              </w:rPr>
              <w:fldChar w:fldCharType="begin"/>
            </w:r>
            <w:r w:rsidR="00BB1745" w:rsidRPr="00FF17EC">
              <w:rPr>
                <w:webHidden/>
              </w:rPr>
              <w:instrText xml:space="preserve"> PAGEREF _Toc383415725 \h </w:instrText>
            </w:r>
            <w:r w:rsidR="00085686" w:rsidRPr="00FF17EC">
              <w:rPr>
                <w:webHidden/>
              </w:rPr>
            </w:r>
            <w:r w:rsidR="00085686" w:rsidRPr="00FF17EC">
              <w:rPr>
                <w:webHidden/>
              </w:rPr>
              <w:fldChar w:fldCharType="separate"/>
            </w:r>
            <w:r w:rsidR="008E5699">
              <w:rPr>
                <w:webHidden/>
              </w:rPr>
              <w:t>93</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26" w:history="1">
            <w:r w:rsidR="00BB1745" w:rsidRPr="00FF17EC">
              <w:rPr>
                <w:rStyle w:val="Hyperlink"/>
              </w:rPr>
              <w:t>11</w:t>
            </w:r>
            <w:r w:rsidR="00BB1745" w:rsidRPr="00FF17EC">
              <w:rPr>
                <w:rFonts w:asciiTheme="minorHAnsi" w:eastAsiaTheme="minorEastAsia" w:hAnsiTheme="minorHAnsi" w:cstheme="minorBidi"/>
                <w:b w:val="0"/>
                <w:sz w:val="22"/>
                <w:lang w:val="it-IT" w:eastAsia="it-IT"/>
              </w:rPr>
              <w:tab/>
            </w:r>
            <w:r w:rsidR="00EE702C" w:rsidRPr="00FF17EC">
              <w:rPr>
                <w:rFonts w:asciiTheme="minorHAnsi" w:eastAsiaTheme="minorEastAsia" w:hAnsiTheme="minorHAnsi" w:cstheme="minorBidi"/>
                <w:b w:val="0"/>
                <w:sz w:val="22"/>
                <w:lang w:val="it-IT" w:eastAsia="it-IT"/>
              </w:rPr>
              <w:t xml:space="preserve"> </w:t>
            </w:r>
            <w:r w:rsidR="00BB1745" w:rsidRPr="00FF17EC">
              <w:rPr>
                <w:rStyle w:val="Hyperlink"/>
              </w:rPr>
              <w:t>The current CBC programme Romania –Republic of Serbia</w:t>
            </w:r>
            <w:r w:rsidR="00BB1745" w:rsidRPr="00FF17EC">
              <w:rPr>
                <w:webHidden/>
              </w:rPr>
              <w:tab/>
            </w:r>
            <w:r w:rsidR="00085686" w:rsidRPr="00FF17EC">
              <w:rPr>
                <w:webHidden/>
              </w:rPr>
              <w:fldChar w:fldCharType="begin"/>
            </w:r>
            <w:r w:rsidR="00BB1745" w:rsidRPr="00FF17EC">
              <w:rPr>
                <w:webHidden/>
              </w:rPr>
              <w:instrText xml:space="preserve"> PAGEREF _Toc383415726 \h </w:instrText>
            </w:r>
            <w:r w:rsidR="00085686" w:rsidRPr="00FF17EC">
              <w:rPr>
                <w:webHidden/>
              </w:rPr>
            </w:r>
            <w:r w:rsidR="00085686" w:rsidRPr="00FF17EC">
              <w:rPr>
                <w:webHidden/>
              </w:rPr>
              <w:fldChar w:fldCharType="separate"/>
            </w:r>
            <w:r w:rsidR="008E5699">
              <w:rPr>
                <w:webHidden/>
              </w:rPr>
              <w:t>95</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27" w:history="1">
            <w:r w:rsidR="00BB1745" w:rsidRPr="00FF17EC">
              <w:rPr>
                <w:rStyle w:val="Hyperlink"/>
              </w:rPr>
              <w:t>12</w:t>
            </w:r>
            <w:r w:rsidR="00BB1745" w:rsidRPr="00FF17EC">
              <w:rPr>
                <w:rFonts w:asciiTheme="minorHAnsi" w:eastAsiaTheme="minorEastAsia" w:hAnsiTheme="minorHAnsi" w:cstheme="minorBidi"/>
                <w:b w:val="0"/>
                <w:sz w:val="22"/>
                <w:lang w:val="it-IT" w:eastAsia="it-IT"/>
              </w:rPr>
              <w:tab/>
            </w:r>
            <w:r w:rsidR="00EE702C" w:rsidRPr="00FF17EC">
              <w:rPr>
                <w:rFonts w:asciiTheme="minorHAnsi" w:eastAsiaTheme="minorEastAsia" w:hAnsiTheme="minorHAnsi" w:cstheme="minorBidi"/>
                <w:b w:val="0"/>
                <w:sz w:val="22"/>
                <w:lang w:val="it-IT" w:eastAsia="it-IT"/>
              </w:rPr>
              <w:t xml:space="preserve"> </w:t>
            </w:r>
            <w:r w:rsidR="00BB1745" w:rsidRPr="00FF17EC">
              <w:rPr>
                <w:rStyle w:val="Hyperlink"/>
              </w:rPr>
              <w:t>The current CBC programme Romania –Republic of Serbia</w:t>
            </w:r>
            <w:r w:rsidR="00BB1745" w:rsidRPr="00FF17EC">
              <w:rPr>
                <w:webHidden/>
              </w:rPr>
              <w:tab/>
            </w:r>
            <w:r w:rsidR="00085686" w:rsidRPr="00FF17EC">
              <w:rPr>
                <w:webHidden/>
              </w:rPr>
              <w:fldChar w:fldCharType="begin"/>
            </w:r>
            <w:r w:rsidR="00BB1745" w:rsidRPr="00FF17EC">
              <w:rPr>
                <w:webHidden/>
              </w:rPr>
              <w:instrText xml:space="preserve"> PAGEREF _Toc383415727 \h </w:instrText>
            </w:r>
            <w:r w:rsidR="00085686" w:rsidRPr="00FF17EC">
              <w:rPr>
                <w:webHidden/>
              </w:rPr>
            </w:r>
            <w:r w:rsidR="00085686" w:rsidRPr="00FF17EC">
              <w:rPr>
                <w:webHidden/>
              </w:rPr>
              <w:fldChar w:fldCharType="separate"/>
            </w:r>
            <w:r w:rsidR="008E5699">
              <w:rPr>
                <w:webHidden/>
              </w:rPr>
              <w:t>101</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28" w:history="1">
            <w:r w:rsidR="00BB1745" w:rsidRPr="00FF17EC">
              <w:rPr>
                <w:rStyle w:val="Hyperlink"/>
              </w:rPr>
              <w:t>13</w:t>
            </w:r>
            <w:r w:rsidR="00EE702C" w:rsidRPr="00FF17EC">
              <w:rPr>
                <w:rStyle w:val="Hyperlink"/>
              </w:rPr>
              <w:t xml:space="preserve"> </w:t>
            </w:r>
            <w:r w:rsidR="00BB1745" w:rsidRPr="00FF17EC">
              <w:rPr>
                <w:rStyle w:val="Hyperlink"/>
              </w:rPr>
              <w:t>ETC</w:t>
            </w:r>
            <w:r w:rsidR="00EE702C" w:rsidRPr="00FF17EC">
              <w:rPr>
                <w:rStyle w:val="Hyperlink"/>
              </w:rPr>
              <w:t xml:space="preserve"> </w:t>
            </w:r>
            <w:r w:rsidR="00BB1745" w:rsidRPr="00FF17EC">
              <w:rPr>
                <w:rStyle w:val="Hyperlink"/>
              </w:rPr>
              <w:t>programmes in the area</w:t>
            </w:r>
            <w:r w:rsidR="00BB1745" w:rsidRPr="00FF17EC">
              <w:rPr>
                <w:webHidden/>
              </w:rPr>
              <w:tab/>
            </w:r>
            <w:r w:rsidR="00085686" w:rsidRPr="00FF17EC">
              <w:rPr>
                <w:webHidden/>
              </w:rPr>
              <w:fldChar w:fldCharType="begin"/>
            </w:r>
            <w:r w:rsidR="00BB1745" w:rsidRPr="00FF17EC">
              <w:rPr>
                <w:webHidden/>
              </w:rPr>
              <w:instrText xml:space="preserve"> PAGEREF _Toc383415728 \h </w:instrText>
            </w:r>
            <w:r w:rsidR="00085686" w:rsidRPr="00FF17EC">
              <w:rPr>
                <w:webHidden/>
              </w:rPr>
            </w:r>
            <w:r w:rsidR="00085686" w:rsidRPr="00FF17EC">
              <w:rPr>
                <w:webHidden/>
              </w:rPr>
              <w:fldChar w:fldCharType="separate"/>
            </w:r>
            <w:r w:rsidR="008E5699">
              <w:rPr>
                <w:webHidden/>
              </w:rPr>
              <w:t>107</w:t>
            </w:r>
            <w:r w:rsidR="00085686" w:rsidRPr="00FF17EC">
              <w:rPr>
                <w:webHidden/>
              </w:rPr>
              <w:fldChar w:fldCharType="end"/>
            </w:r>
          </w:hyperlink>
        </w:p>
        <w:p w:rsidR="00BB1745" w:rsidRPr="00FF17EC" w:rsidRDefault="00DD3A65">
          <w:pPr>
            <w:pStyle w:val="TOC1"/>
            <w:rPr>
              <w:rFonts w:asciiTheme="minorHAnsi" w:eastAsiaTheme="minorEastAsia" w:hAnsiTheme="minorHAnsi" w:cstheme="minorBidi"/>
              <w:b w:val="0"/>
              <w:sz w:val="22"/>
              <w:lang w:val="it-IT" w:eastAsia="it-IT"/>
            </w:rPr>
          </w:pPr>
          <w:hyperlink w:anchor="_Toc383415729" w:history="1">
            <w:r w:rsidR="00BB1745" w:rsidRPr="00FF17EC">
              <w:rPr>
                <w:rStyle w:val="Hyperlink"/>
              </w:rPr>
              <w:t>14</w:t>
            </w:r>
            <w:r w:rsidR="00BB1745" w:rsidRPr="00FF17EC">
              <w:rPr>
                <w:rFonts w:asciiTheme="minorHAnsi" w:eastAsiaTheme="minorEastAsia" w:hAnsiTheme="minorHAnsi" w:cstheme="minorBidi"/>
                <w:b w:val="0"/>
                <w:sz w:val="22"/>
                <w:lang w:val="it-IT" w:eastAsia="it-IT"/>
              </w:rPr>
              <w:tab/>
            </w:r>
            <w:r w:rsidR="00EE702C" w:rsidRPr="00FF17EC">
              <w:rPr>
                <w:rFonts w:asciiTheme="minorHAnsi" w:eastAsiaTheme="minorEastAsia" w:hAnsiTheme="minorHAnsi" w:cstheme="minorBidi"/>
                <w:b w:val="0"/>
                <w:sz w:val="22"/>
                <w:lang w:val="it-IT" w:eastAsia="it-IT"/>
              </w:rPr>
              <w:t xml:space="preserve"> </w:t>
            </w:r>
            <w:r w:rsidR="00BB1745" w:rsidRPr="00FF17EC">
              <w:rPr>
                <w:rStyle w:val="Hyperlink"/>
              </w:rPr>
              <w:t>Conclusions</w:t>
            </w:r>
            <w:r w:rsidR="00BB1745" w:rsidRPr="00FF17EC">
              <w:rPr>
                <w:webHidden/>
              </w:rPr>
              <w:tab/>
            </w:r>
            <w:r w:rsidR="00085686" w:rsidRPr="00FF17EC">
              <w:rPr>
                <w:webHidden/>
              </w:rPr>
              <w:fldChar w:fldCharType="begin"/>
            </w:r>
            <w:r w:rsidR="00BB1745" w:rsidRPr="00FF17EC">
              <w:rPr>
                <w:webHidden/>
              </w:rPr>
              <w:instrText xml:space="preserve"> PAGEREF _Toc383415729 \h </w:instrText>
            </w:r>
            <w:r w:rsidR="00085686" w:rsidRPr="00FF17EC">
              <w:rPr>
                <w:webHidden/>
              </w:rPr>
            </w:r>
            <w:r w:rsidR="00085686" w:rsidRPr="00FF17EC">
              <w:rPr>
                <w:webHidden/>
              </w:rPr>
              <w:fldChar w:fldCharType="separate"/>
            </w:r>
            <w:r w:rsidR="008E5699">
              <w:rPr>
                <w:webHidden/>
              </w:rPr>
              <w:t>111</w:t>
            </w:r>
            <w:r w:rsidR="00085686" w:rsidRPr="00FF17EC">
              <w:rPr>
                <w:webHidden/>
              </w:rPr>
              <w:fldChar w:fldCharType="end"/>
            </w:r>
          </w:hyperlink>
        </w:p>
        <w:p w:rsidR="00E415B6" w:rsidRPr="00FF17EC" w:rsidRDefault="00085686" w:rsidP="007A27BB">
          <w:r w:rsidRPr="00FF17EC">
            <w:fldChar w:fldCharType="end"/>
          </w:r>
        </w:p>
        <w:p w:rsidR="007F6EDC" w:rsidRPr="00FF17EC" w:rsidRDefault="00DD3A65" w:rsidP="007A27BB">
          <w:pPr>
            <w:sectPr w:rsidR="007F6EDC" w:rsidRPr="00FF17EC" w:rsidSect="00E752A1">
              <w:headerReference w:type="default" r:id="rId8"/>
              <w:footerReference w:type="even" r:id="rId9"/>
              <w:footerReference w:type="default" r:id="rId10"/>
              <w:headerReference w:type="first" r:id="rId11"/>
              <w:pgSz w:w="12240" w:h="15840"/>
              <w:pgMar w:top="1843" w:right="1418" w:bottom="1701" w:left="1418" w:header="709" w:footer="445" w:gutter="0"/>
              <w:pgNumType w:start="1"/>
              <w:cols w:space="708"/>
              <w:noEndnote/>
              <w:titlePg/>
              <w:docGrid w:linePitch="299"/>
            </w:sectPr>
          </w:pPr>
        </w:p>
      </w:sdtContent>
    </w:sdt>
    <w:p w:rsidR="00477D64" w:rsidRPr="00FF17EC" w:rsidRDefault="00141C11" w:rsidP="00A62261">
      <w:pPr>
        <w:pStyle w:val="Heading1"/>
        <w:numPr>
          <w:ilvl w:val="0"/>
          <w:numId w:val="0"/>
        </w:numPr>
        <w:ind w:left="567" w:hanging="431"/>
      </w:pPr>
      <w:bookmarkStart w:id="0" w:name="_Toc378857131"/>
      <w:bookmarkStart w:id="1" w:name="_Toc383415697"/>
      <w:r w:rsidRPr="00FF17EC">
        <w:lastRenderedPageBreak/>
        <w:t>Acron</w:t>
      </w:r>
      <w:r w:rsidR="004A5978" w:rsidRPr="00FF17EC">
        <w:t>y</w:t>
      </w:r>
      <w:r w:rsidRPr="00FF17EC">
        <w:t>ms</w:t>
      </w:r>
      <w:bookmarkEnd w:id="0"/>
      <w:bookmarkEnd w:id="1"/>
    </w:p>
    <w:p w:rsidR="003B1322" w:rsidRPr="00FF17EC" w:rsidRDefault="003B1322" w:rsidP="006447BA">
      <w:pPr>
        <w:tabs>
          <w:tab w:val="left" w:pos="993"/>
        </w:tabs>
        <w:ind w:left="993" w:hanging="993"/>
        <w:rPr>
          <w:lang w:eastAsia="it-IT"/>
        </w:rPr>
      </w:pPr>
    </w:p>
    <w:p w:rsidR="00DB6CEE" w:rsidRPr="00FF17EC" w:rsidRDefault="006447BA" w:rsidP="006447BA">
      <w:pPr>
        <w:tabs>
          <w:tab w:val="left" w:pos="993"/>
        </w:tabs>
        <w:ind w:left="993" w:hanging="993"/>
        <w:rPr>
          <w:lang w:eastAsia="it-IT"/>
        </w:rPr>
      </w:pPr>
      <w:r w:rsidRPr="00FF17EC">
        <w:rPr>
          <w:lang w:eastAsia="it-IT"/>
        </w:rPr>
        <w:t>AP</w:t>
      </w:r>
      <w:r w:rsidRPr="00FF17EC">
        <w:rPr>
          <w:lang w:eastAsia="it-IT"/>
        </w:rPr>
        <w:tab/>
      </w:r>
      <w:r w:rsidR="00DB6CEE" w:rsidRPr="00FF17EC">
        <w:rPr>
          <w:lang w:eastAsia="it-IT"/>
        </w:rPr>
        <w:t>Autonomous Province</w:t>
      </w:r>
    </w:p>
    <w:p w:rsidR="00396246" w:rsidRPr="00FF17EC" w:rsidRDefault="006447BA">
      <w:pPr>
        <w:tabs>
          <w:tab w:val="left" w:pos="993"/>
        </w:tabs>
        <w:ind w:left="993" w:hanging="993"/>
        <w:rPr>
          <w:lang w:eastAsia="it-IT"/>
        </w:rPr>
      </w:pPr>
      <w:r w:rsidRPr="00FF17EC">
        <w:rPr>
          <w:lang w:eastAsia="it-IT"/>
        </w:rPr>
        <w:t>FDI</w:t>
      </w:r>
      <w:r w:rsidRPr="00FF17EC">
        <w:rPr>
          <w:lang w:eastAsia="it-IT"/>
        </w:rPr>
        <w:tab/>
      </w:r>
      <w:r w:rsidR="00DB6CEE" w:rsidRPr="00FF17EC">
        <w:rPr>
          <w:lang w:eastAsia="it-IT"/>
        </w:rPr>
        <w:t>Foreign Direct Investments</w:t>
      </w:r>
    </w:p>
    <w:p w:rsidR="00396246" w:rsidRPr="00FF17EC" w:rsidRDefault="008E69DB">
      <w:pPr>
        <w:tabs>
          <w:tab w:val="left" w:pos="993"/>
        </w:tabs>
        <w:ind w:left="993" w:hanging="993"/>
        <w:rPr>
          <w:rStyle w:val="Strong"/>
          <w:rFonts w:ascii="Cambria" w:hAnsi="Cambria" w:cs="Times New Roman"/>
          <w:b w:val="0"/>
          <w:bCs w:val="0"/>
          <w:color w:val="365F91"/>
          <w:sz w:val="28"/>
          <w:szCs w:val="28"/>
          <w:lang w:val="en-US"/>
        </w:rPr>
      </w:pPr>
      <w:r w:rsidRPr="00FF17EC">
        <w:t xml:space="preserve">GDP </w:t>
      </w:r>
      <w:r w:rsidRPr="00FF17EC">
        <w:tab/>
      </w:r>
      <w:r w:rsidR="00DB6CEE" w:rsidRPr="00FF17EC">
        <w:rPr>
          <w:rStyle w:val="Strong"/>
          <w:b w:val="0"/>
        </w:rPr>
        <w:t>Gross domestic product</w:t>
      </w:r>
    </w:p>
    <w:p w:rsidR="00396246" w:rsidRPr="00FF17EC" w:rsidRDefault="008E69DB">
      <w:pPr>
        <w:tabs>
          <w:tab w:val="left" w:pos="993"/>
        </w:tabs>
        <w:ind w:left="993" w:hanging="993"/>
      </w:pPr>
      <w:r w:rsidRPr="00FF17EC">
        <w:t>IPA</w:t>
      </w:r>
      <w:r w:rsidR="006447BA" w:rsidRPr="00FF17EC">
        <w:tab/>
      </w:r>
      <w:r w:rsidR="00DB6CEE" w:rsidRPr="00FF17EC">
        <w:rPr>
          <w:rStyle w:val="Strong"/>
          <w:b w:val="0"/>
        </w:rPr>
        <w:t>Instrument for Pre-Accession Assistance</w:t>
      </w:r>
    </w:p>
    <w:p w:rsidR="00396246" w:rsidRPr="00FF17EC" w:rsidRDefault="00DB6CEE">
      <w:pPr>
        <w:tabs>
          <w:tab w:val="left" w:pos="993"/>
        </w:tabs>
        <w:ind w:left="993" w:hanging="993"/>
        <w:rPr>
          <w:rStyle w:val="aidanews2text"/>
          <w:rFonts w:ascii="Cambria" w:hAnsi="Cambria" w:cs="Times New Roman"/>
          <w:b/>
          <w:bCs/>
          <w:color w:val="365F91"/>
          <w:sz w:val="28"/>
          <w:szCs w:val="28"/>
          <w:lang w:val="en-US"/>
        </w:rPr>
      </w:pPr>
      <w:r w:rsidRPr="00FF17EC">
        <w:t>IPA CBC</w:t>
      </w:r>
      <w:r w:rsidR="00687088" w:rsidRPr="00FF17EC">
        <w:t xml:space="preserve"> </w:t>
      </w:r>
      <w:r w:rsidRPr="00FF17EC">
        <w:rPr>
          <w:rStyle w:val="Strong"/>
        </w:rPr>
        <w:tab/>
      </w:r>
      <w:r w:rsidRPr="00FF17EC">
        <w:rPr>
          <w:rStyle w:val="aidanews2text"/>
        </w:rPr>
        <w:t>IPA Cross-border Cooperation Programme</w:t>
      </w:r>
    </w:p>
    <w:p w:rsidR="00396246" w:rsidRPr="00FF17EC" w:rsidRDefault="006447BA">
      <w:pPr>
        <w:tabs>
          <w:tab w:val="left" w:pos="993"/>
        </w:tabs>
        <w:ind w:left="993" w:hanging="993"/>
        <w:rPr>
          <w:rFonts w:cs="Times New Roman"/>
        </w:rPr>
      </w:pPr>
      <w:r w:rsidRPr="00FF17EC">
        <w:t>NUTS</w:t>
      </w:r>
      <w:r w:rsidRPr="00FF17EC">
        <w:tab/>
      </w:r>
      <w:r w:rsidR="00DB6CEE" w:rsidRPr="00FF17EC">
        <w:t>Nomenclature of Units for Territorial Statistics</w:t>
      </w:r>
      <w:r w:rsidR="00DB6CEE" w:rsidRPr="00FF17EC">
        <w:rPr>
          <w:rFonts w:cs="Times New Roman"/>
        </w:rPr>
        <w:t xml:space="preserve"> </w:t>
      </w:r>
    </w:p>
    <w:p w:rsidR="00396246" w:rsidRPr="00FF17EC" w:rsidRDefault="008E69DB">
      <w:pPr>
        <w:tabs>
          <w:tab w:val="left" w:pos="993"/>
        </w:tabs>
        <w:ind w:left="993" w:hanging="993"/>
      </w:pPr>
      <w:r w:rsidRPr="00FF17EC">
        <w:t>NUTS 3</w:t>
      </w:r>
      <w:r w:rsidR="00687088" w:rsidRPr="00FF17EC">
        <w:t xml:space="preserve"> </w:t>
      </w:r>
      <w:r w:rsidR="00DB6CEE" w:rsidRPr="00FF17EC">
        <w:tab/>
      </w:r>
      <w:r w:rsidR="00DB6CEE" w:rsidRPr="00FF17EC">
        <w:rPr>
          <w:bCs/>
        </w:rPr>
        <w:t xml:space="preserve">Nomenclature of Units for Territorial </w:t>
      </w:r>
      <w:r w:rsidR="003918F7" w:rsidRPr="00FF17EC">
        <w:rPr>
          <w:bCs/>
        </w:rPr>
        <w:t>Statistics</w:t>
      </w:r>
      <w:r w:rsidR="003918F7" w:rsidRPr="00FF17EC">
        <w:t xml:space="preserve"> (</w:t>
      </w:r>
      <w:r w:rsidR="00DB6CEE" w:rsidRPr="00FF17EC">
        <w:t>Romania: counties – Serbia: districts)</w:t>
      </w:r>
    </w:p>
    <w:p w:rsidR="00396246" w:rsidRPr="00FF17EC" w:rsidRDefault="008E69DB">
      <w:pPr>
        <w:tabs>
          <w:tab w:val="left" w:pos="993"/>
        </w:tabs>
        <w:ind w:left="993" w:hanging="993"/>
        <w:rPr>
          <w:rStyle w:val="Strong"/>
          <w:rFonts w:ascii="Cambria" w:hAnsi="Cambria" w:cs="Times New Roman"/>
          <w:b w:val="0"/>
          <w:bCs w:val="0"/>
          <w:color w:val="365F91"/>
          <w:sz w:val="28"/>
          <w:szCs w:val="28"/>
          <w:lang w:val="en-US"/>
        </w:rPr>
      </w:pPr>
      <w:r w:rsidRPr="00FF17EC">
        <w:rPr>
          <w:rFonts w:cs="Times New Roman"/>
        </w:rPr>
        <w:t xml:space="preserve">OECD </w:t>
      </w:r>
      <w:r w:rsidRPr="00FF17EC">
        <w:rPr>
          <w:rFonts w:cs="Times New Roman"/>
        </w:rPr>
        <w:tab/>
      </w:r>
      <w:r w:rsidR="00DB6CEE" w:rsidRPr="00FF17EC">
        <w:rPr>
          <w:rStyle w:val="Strong"/>
          <w:b w:val="0"/>
        </w:rPr>
        <w:t>Organisation for Economic Co-operation and Development</w:t>
      </w:r>
    </w:p>
    <w:p w:rsidR="00396246" w:rsidRPr="00FF17EC" w:rsidRDefault="00DB6CEE">
      <w:pPr>
        <w:tabs>
          <w:tab w:val="left" w:pos="993"/>
        </w:tabs>
        <w:ind w:left="993" w:hanging="993"/>
      </w:pPr>
      <w:r w:rsidRPr="00FF17EC">
        <w:t>PA</w:t>
      </w:r>
      <w:r w:rsidR="00687088" w:rsidRPr="00FF17EC">
        <w:t xml:space="preserve"> </w:t>
      </w:r>
      <w:r w:rsidRPr="00FF17EC">
        <w:tab/>
        <w:t>Programme Area</w:t>
      </w:r>
    </w:p>
    <w:p w:rsidR="00396246" w:rsidRPr="00FF17EC" w:rsidRDefault="006447BA">
      <w:pPr>
        <w:tabs>
          <w:tab w:val="left" w:pos="993"/>
        </w:tabs>
        <w:ind w:left="993" w:hanging="993"/>
      </w:pPr>
      <w:r w:rsidRPr="00FF17EC">
        <w:t>ROP</w:t>
      </w:r>
      <w:r w:rsidRPr="00FF17EC">
        <w:tab/>
        <w:t xml:space="preserve">Regional </w:t>
      </w:r>
      <w:r w:rsidR="00DB6CEE" w:rsidRPr="00FF17EC">
        <w:t xml:space="preserve">Operational Programme 2007 - 2013 (REGIO) </w:t>
      </w:r>
    </w:p>
    <w:p w:rsidR="00396246" w:rsidRPr="00FF17EC" w:rsidRDefault="006447BA">
      <w:pPr>
        <w:tabs>
          <w:tab w:val="left" w:pos="993"/>
        </w:tabs>
        <w:ind w:left="993" w:hanging="993"/>
        <w:rPr>
          <w:rStyle w:val="Strong"/>
          <w:rFonts w:ascii="Cambria" w:hAnsi="Cambria" w:cs="Times New Roman"/>
          <w:b w:val="0"/>
          <w:bCs w:val="0"/>
          <w:color w:val="365F91"/>
          <w:sz w:val="28"/>
          <w:szCs w:val="28"/>
          <w:lang w:val="en-US"/>
        </w:rPr>
      </w:pPr>
      <w:r w:rsidRPr="00FF17EC">
        <w:t>SEE</w:t>
      </w:r>
      <w:r w:rsidRPr="00FF17EC">
        <w:tab/>
      </w:r>
      <w:r w:rsidR="00DB6CEE" w:rsidRPr="00FF17EC">
        <w:t>South East Europe Programme</w:t>
      </w:r>
    </w:p>
    <w:p w:rsidR="00396246" w:rsidRPr="00FF17EC" w:rsidRDefault="008E69DB">
      <w:pPr>
        <w:tabs>
          <w:tab w:val="left" w:pos="993"/>
        </w:tabs>
        <w:ind w:left="993" w:hanging="993"/>
        <w:rPr>
          <w:rStyle w:val="Strong"/>
          <w:rFonts w:ascii="Cambria" w:hAnsi="Cambria" w:cs="Times New Roman"/>
          <w:b w:val="0"/>
          <w:bCs w:val="0"/>
          <w:color w:val="365F91"/>
          <w:sz w:val="28"/>
          <w:szCs w:val="28"/>
          <w:lang w:val="en-US"/>
        </w:rPr>
      </w:pPr>
      <w:r w:rsidRPr="00FF17EC">
        <w:t xml:space="preserve">SMEs </w:t>
      </w:r>
      <w:r w:rsidRPr="00FF17EC">
        <w:tab/>
      </w:r>
      <w:r w:rsidR="00DB6CEE" w:rsidRPr="00FF17EC">
        <w:rPr>
          <w:rStyle w:val="Strong"/>
          <w:b w:val="0"/>
        </w:rPr>
        <w:t>Small and medium enterprises</w:t>
      </w:r>
    </w:p>
    <w:p w:rsidR="00396246" w:rsidRPr="00FF17EC" w:rsidRDefault="007A0D9C">
      <w:pPr>
        <w:tabs>
          <w:tab w:val="left" w:pos="993"/>
        </w:tabs>
        <w:ind w:left="993" w:hanging="993"/>
      </w:pPr>
      <w:r w:rsidRPr="00FF17EC">
        <w:t xml:space="preserve">TA </w:t>
      </w:r>
      <w:r w:rsidRPr="00FF17EC">
        <w:tab/>
        <w:t xml:space="preserve">Territorial Analysis </w:t>
      </w:r>
    </w:p>
    <w:p w:rsidR="00396246" w:rsidRPr="00FF17EC" w:rsidRDefault="00C73C51">
      <w:pPr>
        <w:tabs>
          <w:tab w:val="left" w:pos="993"/>
        </w:tabs>
        <w:ind w:left="993" w:hanging="993"/>
      </w:pPr>
      <w:r w:rsidRPr="00FF17EC">
        <w:t>FDI</w:t>
      </w:r>
      <w:r w:rsidR="00141C11" w:rsidRPr="00FF17EC">
        <w:tab/>
      </w:r>
      <w:r w:rsidRPr="00FF17EC">
        <w:t>Foreign Direct Investment</w:t>
      </w:r>
    </w:p>
    <w:p w:rsidR="00C44A9E" w:rsidRPr="00FF17EC" w:rsidRDefault="00C44A9E" w:rsidP="00766BB2">
      <w:bookmarkStart w:id="2" w:name="_Toc378857132"/>
      <w:bookmarkStart w:id="3" w:name="_GoBack"/>
      <w:bookmarkEnd w:id="3"/>
    </w:p>
    <w:p w:rsidR="003B1322" w:rsidRPr="00FF17EC" w:rsidRDefault="008A6B57" w:rsidP="00A62261">
      <w:pPr>
        <w:pStyle w:val="Heading1"/>
      </w:pPr>
      <w:bookmarkStart w:id="4" w:name="_Toc383415698"/>
      <w:r w:rsidRPr="00FF17EC">
        <w:lastRenderedPageBreak/>
        <w:t>I</w:t>
      </w:r>
      <w:r w:rsidR="00E36BB6" w:rsidRPr="00FF17EC">
        <w:t>ntroduction</w:t>
      </w:r>
      <w:bookmarkEnd w:id="2"/>
      <w:bookmarkEnd w:id="4"/>
    </w:p>
    <w:p w:rsidR="007A0D9C" w:rsidRPr="00FF17EC" w:rsidRDefault="007A0D9C" w:rsidP="00766BB2">
      <w:r w:rsidRPr="00FF17EC">
        <w:t>This Territorial Analysis (TA</w:t>
      </w:r>
      <w:r w:rsidR="00FB0450" w:rsidRPr="00FF17EC">
        <w:t>) provides</w:t>
      </w:r>
      <w:r w:rsidR="008A6B57" w:rsidRPr="00FF17EC">
        <w:t xml:space="preserve"> an overview of the eligible area and the framework – key conditions and constraints – for</w:t>
      </w:r>
      <w:r w:rsidRPr="00FF17EC">
        <w:t xml:space="preserve"> the strategic planning process for t</w:t>
      </w:r>
      <w:r w:rsidR="00CE0338" w:rsidRPr="00FF17EC">
        <w:t>he CBC Programme Romania Serbia</w:t>
      </w:r>
      <w:r w:rsidR="007D1DDB" w:rsidRPr="00FF17EC">
        <w:t>.</w:t>
      </w:r>
      <w:r w:rsidR="00CE0338" w:rsidRPr="00FF17EC">
        <w:t xml:space="preserve"> </w:t>
      </w:r>
    </w:p>
    <w:p w:rsidR="008A6B57" w:rsidRPr="00FF17EC" w:rsidRDefault="00FB0450" w:rsidP="00766BB2">
      <w:r w:rsidRPr="00FF17EC">
        <w:t>The Analysis</w:t>
      </w:r>
      <w:r w:rsidR="008A6B57" w:rsidRPr="00FF17EC">
        <w:t xml:space="preserve"> reli</w:t>
      </w:r>
      <w:r w:rsidR="007A0D9C" w:rsidRPr="00FF17EC">
        <w:t xml:space="preserve">es on information obtained from </w:t>
      </w:r>
      <w:r w:rsidR="008A6B57" w:rsidRPr="00FF17EC">
        <w:t>various sources, including primary and secondary sources alike. The</w:t>
      </w:r>
      <w:r w:rsidR="007A0D9C" w:rsidRPr="00FF17EC">
        <w:t xml:space="preserve"> foundation of the analysis has </w:t>
      </w:r>
      <w:r w:rsidR="008A6B57" w:rsidRPr="00FF17EC">
        <w:t>been established using statistical data, and then its content ha</w:t>
      </w:r>
      <w:r w:rsidR="007A0D9C" w:rsidRPr="00FF17EC">
        <w:t xml:space="preserve">s been further complemented and </w:t>
      </w:r>
      <w:r w:rsidR="008A6B57" w:rsidRPr="00FF17EC">
        <w:t>enri</w:t>
      </w:r>
      <w:r w:rsidR="00CE0338" w:rsidRPr="00FF17EC">
        <w:t>ched based on information from an</w:t>
      </w:r>
      <w:r w:rsidR="008A6B57" w:rsidRPr="00FF17EC">
        <w:t xml:space="preserve">alysis of county and </w:t>
      </w:r>
      <w:r w:rsidRPr="00FF17EC">
        <w:t>district level</w:t>
      </w:r>
      <w:r w:rsidR="007A0D9C" w:rsidRPr="00FF17EC">
        <w:t xml:space="preserve"> documents; analysis of </w:t>
      </w:r>
      <w:r w:rsidRPr="00FF17EC">
        <w:t>documentation delivered</w:t>
      </w:r>
      <w:r w:rsidR="008A6B57" w:rsidRPr="00FF17EC">
        <w:t xml:space="preserve"> </w:t>
      </w:r>
      <w:r w:rsidR="00DD11C9" w:rsidRPr="00FF17EC">
        <w:t>from</w:t>
      </w:r>
      <w:r w:rsidR="008A6B57" w:rsidRPr="00FF17EC">
        <w:t xml:space="preserve"> national and </w:t>
      </w:r>
      <w:r w:rsidR="00CE0338" w:rsidRPr="00FF17EC">
        <w:t>local</w:t>
      </w:r>
      <w:r w:rsidR="008A6B57" w:rsidRPr="00FF17EC">
        <w:t xml:space="preserve"> level</w:t>
      </w:r>
      <w:r w:rsidR="00DD11C9" w:rsidRPr="00FF17EC">
        <w:t xml:space="preserve"> sources</w:t>
      </w:r>
      <w:r w:rsidR="008A6B57" w:rsidRPr="00FF17EC">
        <w:t xml:space="preserve">, both in Romania and </w:t>
      </w:r>
      <w:r w:rsidR="007A0D9C" w:rsidRPr="00FF17EC">
        <w:t>Republic of Serbia; r</w:t>
      </w:r>
      <w:r w:rsidR="008A6B57" w:rsidRPr="00FF17EC">
        <w:t>elevant inputs from the evaluation of the current (2007-2013) Romania</w:t>
      </w:r>
      <w:r w:rsidR="007A0D9C" w:rsidRPr="00FF17EC">
        <w:t xml:space="preserve">-Serbia CBC Programme carried out in 2012. </w:t>
      </w:r>
    </w:p>
    <w:p w:rsidR="00CE0338" w:rsidRPr="00FF17EC" w:rsidRDefault="00CE0338" w:rsidP="00766BB2">
      <w:r w:rsidRPr="00FF17EC">
        <w:t xml:space="preserve">The availability of comparable and homogenous statistical information at the level of NUTS3 units in the two countries represented a relevant </w:t>
      </w:r>
      <w:r w:rsidR="00FB0450" w:rsidRPr="00FF17EC">
        <w:t>constraint for</w:t>
      </w:r>
      <w:r w:rsidRPr="00FF17EC">
        <w:t xml:space="preserve"> the level of detail that could be achieved. Secondary sources, </w:t>
      </w:r>
      <w:r w:rsidR="00FB0450" w:rsidRPr="00FF17EC">
        <w:t>and studies</w:t>
      </w:r>
      <w:r w:rsidRPr="00FF17EC">
        <w:t>, surveys carried out by international and national organizations were used to complement, and enrich, the basic statistical information available.</w:t>
      </w:r>
    </w:p>
    <w:p w:rsidR="007A0D9C" w:rsidRPr="00FF17EC" w:rsidRDefault="007A0D9C" w:rsidP="00766BB2">
      <w:r w:rsidRPr="00FF17EC">
        <w:t xml:space="preserve">The main components of the territorial </w:t>
      </w:r>
      <w:r w:rsidR="00DD11C9" w:rsidRPr="00FF17EC">
        <w:t>analysis</w:t>
      </w:r>
      <w:r w:rsidRPr="00FF17EC">
        <w:t xml:space="preserve"> include the following: </w:t>
      </w:r>
    </w:p>
    <w:p w:rsidR="003B1322" w:rsidRPr="00FF17EC" w:rsidRDefault="007A0D9C" w:rsidP="00BC15BE">
      <w:pPr>
        <w:pStyle w:val="ListParagraph"/>
        <w:numPr>
          <w:ilvl w:val="0"/>
          <w:numId w:val="24"/>
        </w:numPr>
      </w:pPr>
      <w:r w:rsidRPr="00FF17EC">
        <w:t>Eligible area administrative and geography description</w:t>
      </w:r>
      <w:r w:rsidR="00BC15BE" w:rsidRPr="00FF17EC">
        <w:t>;</w:t>
      </w:r>
    </w:p>
    <w:p w:rsidR="003B1322" w:rsidRPr="00FF17EC" w:rsidRDefault="008A6B57" w:rsidP="00BC15BE">
      <w:pPr>
        <w:pStyle w:val="ListParagraph"/>
        <w:numPr>
          <w:ilvl w:val="0"/>
          <w:numId w:val="24"/>
        </w:numPr>
      </w:pPr>
      <w:r w:rsidRPr="00FF17EC">
        <w:t>Social</w:t>
      </w:r>
      <w:r w:rsidR="00BC15BE" w:rsidRPr="00FF17EC">
        <w:t xml:space="preserve"> and demographic structure and d</w:t>
      </w:r>
      <w:r w:rsidRPr="00FF17EC">
        <w:t>ynamics</w:t>
      </w:r>
      <w:r w:rsidR="00BC15BE" w:rsidRPr="00FF17EC">
        <w:t>;</w:t>
      </w:r>
    </w:p>
    <w:p w:rsidR="003B1322" w:rsidRPr="00FF17EC" w:rsidRDefault="00EF56CA" w:rsidP="00EF56CA">
      <w:pPr>
        <w:pStyle w:val="ListParagraph"/>
        <w:numPr>
          <w:ilvl w:val="0"/>
          <w:numId w:val="24"/>
        </w:numPr>
      </w:pPr>
      <w:r w:rsidRPr="00FF17EC">
        <w:t xml:space="preserve">Labor Market and </w:t>
      </w:r>
      <w:r w:rsidR="008A6B57" w:rsidRPr="00FF17EC">
        <w:t>Social inclusion</w:t>
      </w:r>
      <w:r w:rsidR="00BC15BE" w:rsidRPr="00FF17EC">
        <w:t>;</w:t>
      </w:r>
      <w:r w:rsidR="008A6B57" w:rsidRPr="00FF17EC">
        <w:tab/>
      </w:r>
    </w:p>
    <w:p w:rsidR="00EF56CA" w:rsidRPr="00FF17EC" w:rsidRDefault="00EF56CA" w:rsidP="00EF56CA">
      <w:pPr>
        <w:pStyle w:val="ListParagraph"/>
        <w:numPr>
          <w:ilvl w:val="0"/>
          <w:numId w:val="24"/>
        </w:numPr>
      </w:pPr>
      <w:r w:rsidRPr="00FF17EC">
        <w:t>Health services</w:t>
      </w:r>
    </w:p>
    <w:p w:rsidR="003B1322" w:rsidRPr="00FF17EC" w:rsidRDefault="00BC15BE" w:rsidP="00BC15BE">
      <w:pPr>
        <w:pStyle w:val="ListParagraph"/>
        <w:numPr>
          <w:ilvl w:val="0"/>
          <w:numId w:val="24"/>
        </w:numPr>
      </w:pPr>
      <w:r w:rsidRPr="00FF17EC">
        <w:t>Public infrastructure</w:t>
      </w:r>
      <w:r w:rsidR="006433A2" w:rsidRPr="00FF17EC">
        <w:t>s t</w:t>
      </w:r>
      <w:r w:rsidR="008A6B57" w:rsidRPr="00FF17EC">
        <w:t>ransport</w:t>
      </w:r>
      <w:r w:rsidR="006433A2" w:rsidRPr="00FF17EC">
        <w:t xml:space="preserve"> services</w:t>
      </w:r>
      <w:r w:rsidRPr="00FF17EC">
        <w:t>;</w:t>
      </w:r>
    </w:p>
    <w:p w:rsidR="003B1322" w:rsidRPr="00FF17EC" w:rsidRDefault="00CE0338" w:rsidP="00BC15BE">
      <w:pPr>
        <w:pStyle w:val="ListParagraph"/>
        <w:numPr>
          <w:ilvl w:val="0"/>
          <w:numId w:val="24"/>
        </w:numPr>
      </w:pPr>
      <w:r w:rsidRPr="00FF17EC">
        <w:t>Environmental</w:t>
      </w:r>
      <w:r w:rsidR="008A6B57" w:rsidRPr="00FF17EC">
        <w:t xml:space="preserve"> resources and infrastructures</w:t>
      </w:r>
      <w:r w:rsidR="00BC15BE" w:rsidRPr="00FF17EC">
        <w:t>;</w:t>
      </w:r>
      <w:r w:rsidR="008A6B57" w:rsidRPr="00FF17EC">
        <w:tab/>
      </w:r>
    </w:p>
    <w:p w:rsidR="003B1322" w:rsidRPr="00FF17EC" w:rsidRDefault="008A6B57" w:rsidP="00BC15BE">
      <w:pPr>
        <w:pStyle w:val="ListParagraph"/>
        <w:numPr>
          <w:ilvl w:val="0"/>
          <w:numId w:val="24"/>
        </w:numPr>
      </w:pPr>
      <w:r w:rsidRPr="00FF17EC">
        <w:t>Tourism</w:t>
      </w:r>
      <w:r w:rsidR="00BC15BE" w:rsidRPr="00FF17EC">
        <w:t>;</w:t>
      </w:r>
    </w:p>
    <w:p w:rsidR="003B1322" w:rsidRPr="00FF17EC" w:rsidRDefault="008A6B57" w:rsidP="00BC15BE">
      <w:pPr>
        <w:pStyle w:val="ListParagraph"/>
        <w:numPr>
          <w:ilvl w:val="0"/>
          <w:numId w:val="24"/>
        </w:numPr>
      </w:pPr>
      <w:r w:rsidRPr="00FF17EC">
        <w:t>Education, research and innovation</w:t>
      </w:r>
      <w:r w:rsidR="007A0D9C" w:rsidRPr="00FF17EC">
        <w:t xml:space="preserve">, </w:t>
      </w:r>
      <w:r w:rsidRPr="00FF17EC">
        <w:t>Smart specialization</w:t>
      </w:r>
      <w:r w:rsidR="00BC15BE" w:rsidRPr="00FF17EC">
        <w:t>;</w:t>
      </w:r>
    </w:p>
    <w:p w:rsidR="003B1322" w:rsidRPr="00FF17EC" w:rsidRDefault="008A6B57" w:rsidP="00BC15BE">
      <w:pPr>
        <w:pStyle w:val="ListParagraph"/>
        <w:numPr>
          <w:ilvl w:val="0"/>
          <w:numId w:val="24"/>
        </w:numPr>
      </w:pPr>
      <w:r w:rsidRPr="00FF17EC">
        <w:t>The current CBC programme Romania Serbia</w:t>
      </w:r>
      <w:r w:rsidR="00BC15BE" w:rsidRPr="00FF17EC">
        <w:t>;</w:t>
      </w:r>
    </w:p>
    <w:p w:rsidR="003B1322" w:rsidRPr="00FF17EC" w:rsidRDefault="008A6B57" w:rsidP="00BC15BE">
      <w:pPr>
        <w:pStyle w:val="ListParagraph"/>
        <w:numPr>
          <w:ilvl w:val="0"/>
          <w:numId w:val="24"/>
        </w:numPr>
      </w:pPr>
      <w:r w:rsidRPr="00FF17EC">
        <w:t>Other EU and National programmes in the area</w:t>
      </w:r>
      <w:r w:rsidR="00BC15BE" w:rsidRPr="00FF17EC">
        <w:t>;</w:t>
      </w:r>
    </w:p>
    <w:p w:rsidR="003B1322" w:rsidRPr="00FF17EC" w:rsidRDefault="00CE0338">
      <w:r w:rsidRPr="00FF17EC">
        <w:t>In each part of the report the common characters where described first. Then the heterogeneity inside the two countries and across the borders have been analy</w:t>
      </w:r>
      <w:r w:rsidR="005555DF" w:rsidRPr="00FF17EC">
        <w:t>s</w:t>
      </w:r>
      <w:r w:rsidRPr="00FF17EC">
        <w:t xml:space="preserve">ed. Last </w:t>
      </w:r>
      <w:r w:rsidR="006A31D7" w:rsidRPr="00FF17EC">
        <w:t>the current</w:t>
      </w:r>
      <w:r w:rsidRPr="00FF17EC">
        <w:t xml:space="preserve"> and potential interactions across the border have been highlighted.</w:t>
      </w:r>
    </w:p>
    <w:p w:rsidR="009870FC" w:rsidRPr="00FF17EC" w:rsidRDefault="009870FC" w:rsidP="00A62261">
      <w:pPr>
        <w:pStyle w:val="Heading1"/>
        <w:rPr>
          <w:rFonts w:eastAsia="Batang"/>
        </w:rPr>
      </w:pPr>
      <w:bookmarkStart w:id="5" w:name="_Toc378857133"/>
      <w:bookmarkStart w:id="6" w:name="_Toc383415699"/>
      <w:r w:rsidRPr="00FF17EC">
        <w:rPr>
          <w:rFonts w:eastAsia="Batang"/>
        </w:rPr>
        <w:lastRenderedPageBreak/>
        <w:t>Eligible area</w:t>
      </w:r>
      <w:bookmarkEnd w:id="5"/>
      <w:bookmarkEnd w:id="6"/>
    </w:p>
    <w:tbl>
      <w:tblPr>
        <w:tblStyle w:val="TableGrid"/>
        <w:tblW w:w="0" w:type="auto"/>
        <w:tblLook w:val="04A0" w:firstRow="1" w:lastRow="0" w:firstColumn="1" w:lastColumn="0" w:noHBand="0" w:noVBand="1"/>
      </w:tblPr>
      <w:tblGrid>
        <w:gridCol w:w="9394"/>
      </w:tblGrid>
      <w:tr w:rsidR="001B64C9" w:rsidRPr="00FF17EC" w:rsidTr="001B64C9">
        <w:tc>
          <w:tcPr>
            <w:tcW w:w="9544" w:type="dxa"/>
          </w:tcPr>
          <w:p w:rsidR="00101569" w:rsidRPr="00FF17EC" w:rsidRDefault="001B64C9" w:rsidP="00F21D79">
            <w:pPr>
              <w:pStyle w:val="ListParagraph"/>
              <w:numPr>
                <w:ilvl w:val="0"/>
                <w:numId w:val="26"/>
              </w:numPr>
              <w:spacing w:before="120" w:after="0"/>
            </w:pPr>
            <w:r w:rsidRPr="00FF17EC">
              <w:t>The eligible area includes a relevant part of the territory of the two countries.</w:t>
            </w:r>
          </w:p>
          <w:p w:rsidR="00101569" w:rsidRPr="00FF17EC" w:rsidRDefault="00473B46" w:rsidP="00F21D79">
            <w:pPr>
              <w:pStyle w:val="ListParagraph"/>
              <w:numPr>
                <w:ilvl w:val="0"/>
                <w:numId w:val="26"/>
              </w:numPr>
              <w:spacing w:before="120" w:after="0"/>
            </w:pPr>
            <w:r w:rsidRPr="00FF17EC">
              <w:t>9</w:t>
            </w:r>
            <w:r w:rsidR="00287832" w:rsidRPr="00FF17EC">
              <w:t xml:space="preserve"> NUTS</w:t>
            </w:r>
            <w:r w:rsidR="005555DF" w:rsidRPr="00FF17EC">
              <w:t xml:space="preserve"> </w:t>
            </w:r>
            <w:r w:rsidR="00224042" w:rsidRPr="00FF17EC">
              <w:t xml:space="preserve">3 </w:t>
            </w:r>
            <w:r w:rsidR="00287832" w:rsidRPr="00FF17EC">
              <w:t xml:space="preserve">units are included in the area, </w:t>
            </w:r>
            <w:r w:rsidRPr="00FF17EC">
              <w:t>6</w:t>
            </w:r>
            <w:r w:rsidR="00287832" w:rsidRPr="00FF17EC">
              <w:t xml:space="preserve"> </w:t>
            </w:r>
            <w:r w:rsidR="006D509E" w:rsidRPr="00FF17EC">
              <w:t xml:space="preserve">districts </w:t>
            </w:r>
            <w:r w:rsidR="00287832" w:rsidRPr="00FF17EC">
              <w:t xml:space="preserve">in Serbia and 3 </w:t>
            </w:r>
            <w:r w:rsidR="006D509E" w:rsidRPr="00FF17EC">
              <w:t xml:space="preserve">counties </w:t>
            </w:r>
            <w:r w:rsidR="00287832" w:rsidRPr="00FF17EC">
              <w:t xml:space="preserve">in </w:t>
            </w:r>
            <w:r w:rsidR="00101D9B" w:rsidRPr="00FF17EC">
              <w:t>Romania</w:t>
            </w:r>
            <w:r w:rsidR="00CC0977" w:rsidRPr="00FF17EC">
              <w:t>.</w:t>
            </w:r>
          </w:p>
          <w:p w:rsidR="00101569" w:rsidRPr="00FF17EC" w:rsidRDefault="006D509E" w:rsidP="00F21D79">
            <w:pPr>
              <w:pStyle w:val="ListParagraph"/>
              <w:numPr>
                <w:ilvl w:val="0"/>
                <w:numId w:val="26"/>
              </w:numPr>
              <w:spacing w:before="120" w:after="0"/>
            </w:pPr>
            <w:r w:rsidRPr="00FF17EC">
              <w:t>The area i</w:t>
            </w:r>
            <w:r w:rsidR="00287832" w:rsidRPr="00FF17EC">
              <w:t>s in the core of the Danube basin and of the European Danube macro region.</w:t>
            </w:r>
          </w:p>
          <w:p w:rsidR="00101569" w:rsidRPr="00FF17EC" w:rsidRDefault="00CC0977" w:rsidP="00F21D79">
            <w:pPr>
              <w:pStyle w:val="ListParagraph"/>
              <w:numPr>
                <w:ilvl w:val="0"/>
                <w:numId w:val="26"/>
              </w:numPr>
              <w:spacing w:before="120" w:after="0"/>
            </w:pPr>
            <w:r w:rsidRPr="00FF17EC">
              <w:t xml:space="preserve">The </w:t>
            </w:r>
            <w:r w:rsidR="00101D9B" w:rsidRPr="00FF17EC">
              <w:t>population</w:t>
            </w:r>
            <w:r w:rsidR="006D509E" w:rsidRPr="00FF17EC">
              <w:t xml:space="preserve"> number </w:t>
            </w:r>
            <w:r w:rsidRPr="00FF17EC">
              <w:t>is</w:t>
            </w:r>
            <w:r w:rsidR="00101D9B" w:rsidRPr="00FF17EC">
              <w:t xml:space="preserve"> balanced </w:t>
            </w:r>
            <w:r w:rsidR="006D509E" w:rsidRPr="00FF17EC">
              <w:t>o</w:t>
            </w:r>
            <w:r w:rsidRPr="00FF17EC">
              <w:t>n the two sides of the border.</w:t>
            </w:r>
          </w:p>
          <w:p w:rsidR="00634723" w:rsidRPr="00FF17EC" w:rsidRDefault="00287832" w:rsidP="00F21D79">
            <w:pPr>
              <w:pStyle w:val="ListParagraph"/>
              <w:numPr>
                <w:ilvl w:val="0"/>
                <w:numId w:val="26"/>
              </w:numPr>
              <w:spacing w:before="120" w:after="0"/>
            </w:pPr>
            <w:r w:rsidRPr="00FF17EC">
              <w:t xml:space="preserve">The geography of the eligible area is complex and </w:t>
            </w:r>
            <w:r w:rsidR="005555DF" w:rsidRPr="00FF17EC">
              <w:t>heterogeneous</w:t>
            </w:r>
            <w:r w:rsidRPr="00FF17EC">
              <w:t>.</w:t>
            </w:r>
            <w:r w:rsidR="00634723" w:rsidRPr="00FF17EC">
              <w:t xml:space="preserve"> </w:t>
            </w:r>
          </w:p>
          <w:p w:rsidR="00101569" w:rsidRPr="00FF17EC" w:rsidRDefault="00101D9B" w:rsidP="00F21D79">
            <w:pPr>
              <w:pStyle w:val="ListParagraph"/>
              <w:numPr>
                <w:ilvl w:val="0"/>
                <w:numId w:val="26"/>
              </w:numPr>
              <w:spacing w:before="120" w:after="0"/>
            </w:pPr>
            <w:r w:rsidRPr="00FF17EC">
              <w:t xml:space="preserve">There are plains in the north (the Banat), and in the south east. There are </w:t>
            </w:r>
            <w:r w:rsidR="005555DF" w:rsidRPr="00FF17EC">
              <w:t>m</w:t>
            </w:r>
            <w:r w:rsidRPr="00FF17EC">
              <w:t>ountains</w:t>
            </w:r>
            <w:r w:rsidR="005555DF" w:rsidRPr="00FF17EC">
              <w:t>:</w:t>
            </w:r>
            <w:r w:rsidRPr="00FF17EC">
              <w:t xml:space="preserve"> </w:t>
            </w:r>
            <w:r w:rsidR="005555DF" w:rsidRPr="00FF17EC">
              <w:t>the</w:t>
            </w:r>
            <w:r w:rsidRPr="00FF17EC">
              <w:t xml:space="preserve"> Southern Carpathians range, Western end of the Southern Carpathians, the Veliki Krš, </w:t>
            </w:r>
            <w:hyperlink r:id="rId12" w:tooltip="Mali Krš" w:history="1">
              <w:r w:rsidRPr="00FF17EC">
                <w:t>Mali Krš</w:t>
              </w:r>
            </w:hyperlink>
            <w:r w:rsidRPr="00FF17EC">
              <w:t> and </w:t>
            </w:r>
            <w:hyperlink r:id="rId13" w:tooltip="Stol (Serbia)" w:history="1">
              <w:r w:rsidRPr="00FF17EC">
                <w:t>Stol</w:t>
              </w:r>
            </w:hyperlink>
            <w:r w:rsidRPr="00FF17EC">
              <w:t xml:space="preserve"> mountains, dominated by </w:t>
            </w:r>
            <w:hyperlink r:id="rId14" w:tooltip="Karst" w:history="1">
              <w:r w:rsidRPr="00FF17EC">
                <w:t>karst</w:t>
              </w:r>
            </w:hyperlink>
            <w:r w:rsidRPr="00FF17EC">
              <w:t> formations. In Romania the Mehedinţi Mountains.</w:t>
            </w:r>
          </w:p>
          <w:p w:rsidR="00101D9B" w:rsidRPr="00FF17EC" w:rsidRDefault="006D509E" w:rsidP="00F21D79">
            <w:pPr>
              <w:pStyle w:val="ListParagraph"/>
              <w:numPr>
                <w:ilvl w:val="0"/>
                <w:numId w:val="26"/>
              </w:numPr>
              <w:spacing w:before="120" w:after="0"/>
            </w:pPr>
            <w:r w:rsidRPr="00FF17EC">
              <w:t>The Danube generates critical factors of cross</w:t>
            </w:r>
            <w:r w:rsidR="00DA7477" w:rsidRPr="00FF17EC">
              <w:t>-</w:t>
            </w:r>
            <w:r w:rsidRPr="00FF17EC">
              <w:t xml:space="preserve">border interaction, and produces many </w:t>
            </w:r>
            <w:r w:rsidR="005555DF" w:rsidRPr="00FF17EC">
              <w:t>opportunities</w:t>
            </w:r>
            <w:r w:rsidRPr="00FF17EC">
              <w:t>/needs for cooperation.</w:t>
            </w:r>
            <w:r w:rsidR="00101D9B" w:rsidRPr="00FF17EC">
              <w:t xml:space="preserve"> </w:t>
            </w:r>
            <w:r w:rsidR="004A365E" w:rsidRPr="00FF17EC">
              <w:t xml:space="preserve">Other smaller </w:t>
            </w:r>
            <w:r w:rsidRPr="00FF17EC">
              <w:t>rivers crossing area have relevant impact</w:t>
            </w:r>
            <w:r w:rsidR="004A365E" w:rsidRPr="00FF17EC">
              <w:t>: Tisa,</w:t>
            </w:r>
            <w:r w:rsidR="00F849BD" w:rsidRPr="00FF17EC">
              <w:t xml:space="preserve"> </w:t>
            </w:r>
            <w:r w:rsidR="004A365E" w:rsidRPr="00FF17EC">
              <w:t xml:space="preserve">Timiș, Cerna, Caraș Nera. </w:t>
            </w:r>
          </w:p>
        </w:tc>
      </w:tr>
    </w:tbl>
    <w:p w:rsidR="001B64C9" w:rsidRPr="00FF17EC" w:rsidRDefault="001B64C9" w:rsidP="00766BB2"/>
    <w:p w:rsidR="003A0AED" w:rsidRPr="00FF17EC" w:rsidRDefault="00A20762" w:rsidP="00766BB2">
      <w:r w:rsidRPr="00FF17EC">
        <w:t xml:space="preserve">The eligible area </w:t>
      </w:r>
      <w:r w:rsidR="002A4E73" w:rsidRPr="00FF17EC">
        <w:t>for the programming period 2014-2020 under the IPA CBC programme Serbia Romania</w:t>
      </w:r>
      <w:r w:rsidR="00845718" w:rsidRPr="00FF17EC">
        <w:t xml:space="preserve"> </w:t>
      </w:r>
      <w:r w:rsidR="006A31D7" w:rsidRPr="00FF17EC">
        <w:t>will include</w:t>
      </w:r>
      <w:r w:rsidR="00926DF0" w:rsidRPr="00FF17EC">
        <w:t xml:space="preserve"> three counties of Romania, and the </w:t>
      </w:r>
      <w:r w:rsidR="00473B46" w:rsidRPr="00FF17EC">
        <w:t>six</w:t>
      </w:r>
      <w:r w:rsidR="00926DF0" w:rsidRPr="00FF17EC">
        <w:t xml:space="preserve"> districts of the Republic of Serbia</w:t>
      </w:r>
      <w:r w:rsidR="003A0AED" w:rsidRPr="00FF17EC">
        <w:rPr>
          <w:rStyle w:val="FootnoteReference"/>
          <w:sz w:val="20"/>
        </w:rPr>
        <w:footnoteReference w:id="1"/>
      </w:r>
      <w:r w:rsidR="003A0AED" w:rsidRPr="00FF17EC">
        <w:t xml:space="preserve">. </w:t>
      </w:r>
    </w:p>
    <w:p w:rsidR="00634723" w:rsidRPr="00FF17EC" w:rsidRDefault="006433A2" w:rsidP="00634723">
      <w:r w:rsidRPr="00FF17EC">
        <w:t>The programme area is at the centre of the European Danube Macro Region. The two partner countries include a large share of the river basin, their total surface representing 10% of the basin in Serbia and 29% in Romania</w:t>
      </w:r>
      <w:r w:rsidRPr="00FF17EC">
        <w:rPr>
          <w:rStyle w:val="FootnoteReference"/>
        </w:rPr>
        <w:footnoteReference w:id="2"/>
      </w:r>
      <w:r w:rsidRPr="00FF17EC">
        <w:t xml:space="preserve">. </w:t>
      </w:r>
    </w:p>
    <w:p w:rsidR="00634723" w:rsidRPr="00FF17EC" w:rsidRDefault="00634723" w:rsidP="00634723">
      <w:pPr>
        <w:widowControl w:val="0"/>
      </w:pPr>
      <w:r w:rsidRPr="00FF17EC">
        <w:t>The t</w:t>
      </w:r>
      <w:r w:rsidRPr="00FF17EC">
        <w:rPr>
          <w:rFonts w:eastAsia="Batang"/>
        </w:rPr>
        <w:t xml:space="preserve">otal area is </w:t>
      </w:r>
      <w:r w:rsidR="00A26906" w:rsidRPr="00FF17EC">
        <w:rPr>
          <w:rFonts w:eastAsia="Batang"/>
        </w:rPr>
        <w:t>40</w:t>
      </w:r>
      <w:r w:rsidRPr="00FF17EC">
        <w:rPr>
          <w:rFonts w:eastAsia="Batang"/>
        </w:rPr>
        <w:t>.</w:t>
      </w:r>
      <w:r w:rsidR="00A26906" w:rsidRPr="00FF17EC">
        <w:rPr>
          <w:rFonts w:eastAsia="Batang"/>
        </w:rPr>
        <w:t>596</w:t>
      </w:r>
      <w:r w:rsidRPr="00FF17EC">
        <w:rPr>
          <w:rFonts w:eastAsia="Batang"/>
        </w:rPr>
        <w:t xml:space="preserve"> sq</w:t>
      </w:r>
      <w:r w:rsidR="003436BC" w:rsidRPr="00FF17EC">
        <w:rPr>
          <w:rFonts w:eastAsia="Batang"/>
        </w:rPr>
        <w:t>.</w:t>
      </w:r>
      <w:r w:rsidRPr="00FF17EC">
        <w:rPr>
          <w:rFonts w:eastAsia="Batang"/>
        </w:rPr>
        <w:t>km (5</w:t>
      </w:r>
      <w:r w:rsidR="00A26906" w:rsidRPr="00FF17EC">
        <w:rPr>
          <w:rFonts w:eastAsia="Batang"/>
        </w:rPr>
        <w:t>3</w:t>
      </w:r>
      <w:r w:rsidRPr="00FF17EC">
        <w:rPr>
          <w:rFonts w:eastAsia="Batang"/>
        </w:rPr>
        <w:t>,</w:t>
      </w:r>
      <w:r w:rsidR="00A26906" w:rsidRPr="00FF17EC">
        <w:rPr>
          <w:rFonts w:eastAsia="Batang"/>
        </w:rPr>
        <w:t>1</w:t>
      </w:r>
      <w:r w:rsidRPr="00FF17EC">
        <w:rPr>
          <w:rFonts w:eastAsia="Batang"/>
        </w:rPr>
        <w:t xml:space="preserve"> % in Romania/ 4</w:t>
      </w:r>
      <w:r w:rsidR="00A26906" w:rsidRPr="00FF17EC">
        <w:rPr>
          <w:rFonts w:eastAsia="Batang"/>
        </w:rPr>
        <w:t>6</w:t>
      </w:r>
      <w:r w:rsidRPr="00FF17EC">
        <w:rPr>
          <w:rFonts w:eastAsia="Batang"/>
        </w:rPr>
        <w:t>,</w:t>
      </w:r>
      <w:r w:rsidR="00A26906" w:rsidRPr="00FF17EC">
        <w:rPr>
          <w:rFonts w:eastAsia="Batang"/>
        </w:rPr>
        <w:t>9</w:t>
      </w:r>
      <w:r w:rsidRPr="00FF17EC">
        <w:rPr>
          <w:rFonts w:eastAsia="Batang"/>
        </w:rPr>
        <w:t>% in Serbia), including the Romanian counties Timiş, Caraş-Severin and Mehedinţi</w:t>
      </w:r>
      <w:r w:rsidRPr="00FF17EC">
        <w:t xml:space="preserve">, and the </w:t>
      </w:r>
      <w:r w:rsidRPr="00FF17EC">
        <w:rPr>
          <w:rFonts w:eastAsia="Batang"/>
        </w:rPr>
        <w:t>Serbian districts (Severno Banatski, Srednje Banatski, Južno Banatski, Braničevski, Borski</w:t>
      </w:r>
      <w:r w:rsidR="00473B46" w:rsidRPr="00FF17EC">
        <w:rPr>
          <w:rFonts w:eastAsia="Batang"/>
        </w:rPr>
        <w:t>, Podunavsk</w:t>
      </w:r>
      <w:r w:rsidR="00B737C2" w:rsidRPr="00FF17EC">
        <w:rPr>
          <w:rFonts w:eastAsia="Batang"/>
        </w:rPr>
        <w:t>i</w:t>
      </w:r>
      <w:r w:rsidRPr="00FF17EC">
        <w:rPr>
          <w:rFonts w:eastAsia="Batang"/>
        </w:rPr>
        <w:t>)</w:t>
      </w:r>
      <w:r w:rsidRPr="00FF17EC">
        <w:t xml:space="preserve">. </w:t>
      </w:r>
    </w:p>
    <w:p w:rsidR="006433A2" w:rsidRPr="00FF17EC" w:rsidRDefault="006433A2" w:rsidP="00634723">
      <w:pPr>
        <w:widowControl w:val="0"/>
      </w:pPr>
    </w:p>
    <w:p w:rsidR="003B1322" w:rsidRPr="00FF17EC" w:rsidRDefault="003436BC">
      <w:pPr>
        <w:pStyle w:val="Caption"/>
        <w:spacing w:after="0" w:line="240" w:lineRule="auto"/>
        <w:jc w:val="center"/>
      </w:pPr>
      <w:r w:rsidRPr="00FF17EC">
        <w:rPr>
          <w:noProof/>
          <w:lang w:eastAsia="en-GB"/>
        </w:rPr>
        <w:lastRenderedPageBreak/>
        <w:drawing>
          <wp:inline distT="0" distB="0" distL="0" distR="0">
            <wp:extent cx="5400675" cy="3821868"/>
            <wp:effectExtent l="0" t="0" r="0" b="0"/>
            <wp:docPr id="35" name="Picture 35" descr="D:\cbc\TA Poduniavski\harti\Eligible areas_May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bc\TA Poduniavski\harti\Eligible areas_May201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100" cy="3821461"/>
                    </a:xfrm>
                    <a:prstGeom prst="rect">
                      <a:avLst/>
                    </a:prstGeom>
                    <a:noFill/>
                    <a:ln>
                      <a:noFill/>
                    </a:ln>
                  </pic:spPr>
                </pic:pic>
              </a:graphicData>
            </a:graphic>
          </wp:inline>
        </w:drawing>
      </w:r>
    </w:p>
    <w:p w:rsidR="003B1322" w:rsidRPr="00FF17EC" w:rsidRDefault="00057209">
      <w:pPr>
        <w:pStyle w:val="Caption"/>
        <w:spacing w:after="0" w:line="240" w:lineRule="auto"/>
        <w:jc w:val="center"/>
      </w:pPr>
      <w:r w:rsidRPr="00FF17EC">
        <w:t xml:space="preserve">Map </w:t>
      </w:r>
      <w:r w:rsidR="00085686" w:rsidRPr="00FF17EC">
        <w:fldChar w:fldCharType="begin"/>
      </w:r>
      <w:r w:rsidR="00EE702C" w:rsidRPr="00FF17EC">
        <w:instrText xml:space="preserve"> STYLEREF 1 \s </w:instrText>
      </w:r>
      <w:r w:rsidR="00085686" w:rsidRPr="00FF17EC">
        <w:fldChar w:fldCharType="separate"/>
      </w:r>
      <w:r w:rsidR="009737E5">
        <w:rPr>
          <w:noProof/>
        </w:rPr>
        <w:t>2</w:t>
      </w:r>
      <w:r w:rsidR="00085686" w:rsidRPr="00FF17EC">
        <w:rPr>
          <w:noProof/>
        </w:rPr>
        <w:fldChar w:fldCharType="end"/>
      </w:r>
      <w:r w:rsidR="00CA6A29" w:rsidRPr="00FF17EC">
        <w:noBreakHyphen/>
      </w:r>
      <w:r w:rsidR="00085686" w:rsidRPr="00FF17EC">
        <w:fldChar w:fldCharType="begin"/>
      </w:r>
      <w:r w:rsidR="00EE702C" w:rsidRPr="00FF17EC">
        <w:instrText xml:space="preserve"> SEQ Map \* ARABIC \s 1 </w:instrText>
      </w:r>
      <w:r w:rsidR="00085686" w:rsidRPr="00FF17EC">
        <w:fldChar w:fldCharType="separate"/>
      </w:r>
      <w:r w:rsidR="009737E5">
        <w:rPr>
          <w:noProof/>
        </w:rPr>
        <w:t>1</w:t>
      </w:r>
      <w:r w:rsidR="00085686" w:rsidRPr="00FF17EC">
        <w:rPr>
          <w:noProof/>
        </w:rPr>
        <w:fldChar w:fldCharType="end"/>
      </w:r>
      <w:r w:rsidR="00477D64" w:rsidRPr="00FF17EC">
        <w:t xml:space="preserve"> The eligible area of the </w:t>
      </w:r>
      <w:r w:rsidR="001A45AB" w:rsidRPr="00FF17EC">
        <w:t xml:space="preserve">Romania Serbia IPA </w:t>
      </w:r>
      <w:r w:rsidR="00477D64" w:rsidRPr="00FF17EC">
        <w:t>CBC Programme</w:t>
      </w:r>
    </w:p>
    <w:p w:rsidR="00057209" w:rsidRPr="00FF17EC" w:rsidRDefault="00057209" w:rsidP="00766BB2"/>
    <w:p w:rsidR="00564676" w:rsidRPr="00FF17EC" w:rsidRDefault="00564676" w:rsidP="00766BB2">
      <w:r w:rsidRPr="00FF17EC">
        <w:t>The eligible area is split in two NUTS2 regions in Romania, and two NUTS2 regions in Serbia.</w:t>
      </w:r>
    </w:p>
    <w:p w:rsidR="003A0AED" w:rsidRPr="00FF17EC" w:rsidRDefault="003A0AED" w:rsidP="00766BB2">
      <w:r w:rsidRPr="00FF17EC">
        <w:t xml:space="preserve">In Serbia, the three Banat districts belong to the Autonomous Province of Vojvodina, an administrative entity classified as NUTS2 statistical region according to the law 46/2010, that has revised the territorial statistical units in Serbia according to the EU criteria. The </w:t>
      </w:r>
      <w:r w:rsidR="00AF129E" w:rsidRPr="00FF17EC">
        <w:rPr>
          <w:rFonts w:eastAsia="Batang"/>
        </w:rPr>
        <w:t xml:space="preserve">Braničevski, </w:t>
      </w:r>
      <w:r w:rsidR="006A31D7" w:rsidRPr="00FF17EC">
        <w:rPr>
          <w:rFonts w:eastAsia="Batang"/>
        </w:rPr>
        <w:t>Borski</w:t>
      </w:r>
      <w:r w:rsidRPr="00FF17EC">
        <w:t xml:space="preserve"> </w:t>
      </w:r>
      <w:r w:rsidR="00AF129E" w:rsidRPr="00FF17EC">
        <w:t xml:space="preserve">and </w:t>
      </w:r>
      <w:r w:rsidR="00AF129E" w:rsidRPr="00FF17EC">
        <w:rPr>
          <w:rFonts w:eastAsia="Batang"/>
        </w:rPr>
        <w:t>Podunavsk</w:t>
      </w:r>
      <w:r w:rsidR="00B645B3" w:rsidRPr="00FF17EC">
        <w:rPr>
          <w:rFonts w:eastAsia="Batang"/>
        </w:rPr>
        <w:t>i</w:t>
      </w:r>
      <w:r w:rsidR="00AF129E" w:rsidRPr="00FF17EC">
        <w:t xml:space="preserve"> </w:t>
      </w:r>
      <w:r w:rsidRPr="00FF17EC">
        <w:t xml:space="preserve">districts belong to the NUTS2 statistical region of Southern and </w:t>
      </w:r>
      <w:r w:rsidR="006A31D7" w:rsidRPr="00FF17EC">
        <w:t>Eastern Serbia</w:t>
      </w:r>
      <w:r w:rsidRPr="00FF17EC">
        <w:t xml:space="preserve">. </w:t>
      </w:r>
    </w:p>
    <w:p w:rsidR="003A0AED" w:rsidRPr="00FF17EC" w:rsidRDefault="003A0AED" w:rsidP="00766BB2">
      <w:r w:rsidRPr="00FF17EC">
        <w:t xml:space="preserve">In Romania, Mehedinti </w:t>
      </w:r>
      <w:r w:rsidR="006A31D7" w:rsidRPr="00FF17EC">
        <w:t>County</w:t>
      </w:r>
      <w:r w:rsidRPr="00FF17EC">
        <w:t xml:space="preserve"> belongs to </w:t>
      </w:r>
      <w:r w:rsidR="006A31D7" w:rsidRPr="00FF17EC">
        <w:t>the Development</w:t>
      </w:r>
      <w:r w:rsidRPr="00FF17EC">
        <w:t xml:space="preserve"> Region South West. The two counties of Cara</w:t>
      </w:r>
      <w:r w:rsidR="007C17EA" w:rsidRPr="00FF17EC">
        <w:rPr>
          <w:lang w:val="ro-RO"/>
        </w:rPr>
        <w:t>ș</w:t>
      </w:r>
      <w:r w:rsidR="00EE702C" w:rsidRPr="00FF17EC">
        <w:rPr>
          <w:lang w:val="ro-RO"/>
        </w:rPr>
        <w:t>-Severin</w:t>
      </w:r>
      <w:r w:rsidRPr="00FF17EC">
        <w:t xml:space="preserve"> and Timi</w:t>
      </w:r>
      <w:r w:rsidR="007C17EA" w:rsidRPr="00FF17EC">
        <w:t>ș</w:t>
      </w:r>
      <w:r w:rsidRPr="00FF17EC">
        <w:t xml:space="preserve"> belong to the </w:t>
      </w:r>
      <w:r w:rsidR="006A31D7" w:rsidRPr="00FF17EC">
        <w:t>development Region</w:t>
      </w:r>
      <w:r w:rsidRPr="00FF17EC">
        <w:t xml:space="preserve"> West</w:t>
      </w:r>
      <w:r w:rsidR="00F2792A" w:rsidRPr="00FF17EC">
        <w:t>.</w:t>
      </w:r>
    </w:p>
    <w:tbl>
      <w:tblPr>
        <w:tblW w:w="9214" w:type="dxa"/>
        <w:tblInd w:w="108" w:type="dxa"/>
        <w:tblLayout w:type="fixed"/>
        <w:tblLook w:val="01E0" w:firstRow="1" w:lastRow="1" w:firstColumn="1" w:lastColumn="1" w:noHBand="0" w:noVBand="0"/>
      </w:tblPr>
      <w:tblGrid>
        <w:gridCol w:w="1134"/>
        <w:gridCol w:w="1476"/>
        <w:gridCol w:w="4903"/>
        <w:gridCol w:w="1701"/>
      </w:tblGrid>
      <w:tr w:rsidR="00057209" w:rsidRPr="00FF17EC" w:rsidTr="00AF129E">
        <w:tc>
          <w:tcPr>
            <w:tcW w:w="1134" w:type="dxa"/>
            <w:tcBorders>
              <w:top w:val="single" w:sz="12" w:space="0" w:color="auto"/>
              <w:left w:val="single" w:sz="12" w:space="0" w:color="auto"/>
              <w:bottom w:val="single" w:sz="18" w:space="0" w:color="auto"/>
              <w:right w:val="single" w:sz="12" w:space="0" w:color="auto"/>
            </w:tcBorders>
          </w:tcPr>
          <w:p w:rsidR="003B1322" w:rsidRPr="00FF17EC" w:rsidRDefault="00057209" w:rsidP="006433A2">
            <w:pPr>
              <w:pStyle w:val="BodyText"/>
              <w:keepNext/>
              <w:spacing w:after="0" w:line="240" w:lineRule="auto"/>
              <w:rPr>
                <w:szCs w:val="20"/>
              </w:rPr>
            </w:pPr>
            <w:r w:rsidRPr="00FF17EC">
              <w:rPr>
                <w:szCs w:val="20"/>
              </w:rPr>
              <w:lastRenderedPageBreak/>
              <w:t>Country</w:t>
            </w:r>
          </w:p>
        </w:tc>
        <w:tc>
          <w:tcPr>
            <w:tcW w:w="1476" w:type="dxa"/>
            <w:tcBorders>
              <w:top w:val="single" w:sz="12" w:space="0" w:color="auto"/>
              <w:left w:val="single" w:sz="12" w:space="0" w:color="auto"/>
              <w:bottom w:val="single" w:sz="18" w:space="0" w:color="auto"/>
              <w:right w:val="single" w:sz="12" w:space="0" w:color="auto"/>
            </w:tcBorders>
          </w:tcPr>
          <w:p w:rsidR="003B1322" w:rsidRPr="00FF17EC" w:rsidRDefault="00057209" w:rsidP="006433A2">
            <w:pPr>
              <w:pStyle w:val="BodyText"/>
              <w:keepNext/>
              <w:spacing w:after="0" w:line="240" w:lineRule="auto"/>
              <w:rPr>
                <w:szCs w:val="20"/>
              </w:rPr>
            </w:pPr>
            <w:r w:rsidRPr="00FF17EC">
              <w:rPr>
                <w:szCs w:val="20"/>
              </w:rPr>
              <w:t>NUTS 3 units:</w:t>
            </w:r>
          </w:p>
        </w:tc>
        <w:tc>
          <w:tcPr>
            <w:tcW w:w="4903" w:type="dxa"/>
            <w:tcBorders>
              <w:top w:val="single" w:sz="12" w:space="0" w:color="auto"/>
              <w:left w:val="single" w:sz="12" w:space="0" w:color="auto"/>
              <w:bottom w:val="single" w:sz="18" w:space="0" w:color="auto"/>
              <w:right w:val="single" w:sz="12" w:space="0" w:color="auto"/>
            </w:tcBorders>
          </w:tcPr>
          <w:p w:rsidR="003B1322" w:rsidRPr="00FF17EC" w:rsidRDefault="00057209" w:rsidP="006433A2">
            <w:pPr>
              <w:pStyle w:val="BodyText"/>
              <w:keepNext/>
              <w:spacing w:after="0" w:line="240" w:lineRule="auto"/>
              <w:rPr>
                <w:szCs w:val="20"/>
              </w:rPr>
            </w:pPr>
            <w:r w:rsidRPr="00FF17EC">
              <w:rPr>
                <w:szCs w:val="20"/>
              </w:rPr>
              <w:t>Administrative status</w:t>
            </w:r>
          </w:p>
        </w:tc>
        <w:tc>
          <w:tcPr>
            <w:tcW w:w="1701" w:type="dxa"/>
            <w:tcBorders>
              <w:top w:val="single" w:sz="12" w:space="0" w:color="auto"/>
              <w:left w:val="single" w:sz="12" w:space="0" w:color="auto"/>
              <w:bottom w:val="single" w:sz="18" w:space="0" w:color="auto"/>
              <w:right w:val="single" w:sz="12" w:space="0" w:color="auto"/>
            </w:tcBorders>
          </w:tcPr>
          <w:p w:rsidR="003B1322" w:rsidRPr="00FF17EC" w:rsidRDefault="00057209" w:rsidP="006433A2">
            <w:pPr>
              <w:pStyle w:val="BodyText"/>
              <w:keepNext/>
              <w:spacing w:after="0" w:line="240" w:lineRule="auto"/>
              <w:rPr>
                <w:szCs w:val="20"/>
              </w:rPr>
            </w:pPr>
            <w:r w:rsidRPr="00FF17EC">
              <w:rPr>
                <w:szCs w:val="20"/>
              </w:rPr>
              <w:t>Capital</w:t>
            </w:r>
            <w:r w:rsidR="00687088" w:rsidRPr="00FF17EC">
              <w:rPr>
                <w:szCs w:val="20"/>
              </w:rPr>
              <w:t xml:space="preserve"> </w:t>
            </w:r>
            <w:r w:rsidRPr="00FF17EC">
              <w:rPr>
                <w:szCs w:val="20"/>
              </w:rPr>
              <w:t>city</w:t>
            </w:r>
            <w:r w:rsidR="002F4CAA" w:rsidRPr="00FF17EC">
              <w:rPr>
                <w:szCs w:val="20"/>
              </w:rPr>
              <w:t xml:space="preserve"> / S</w:t>
            </w:r>
            <w:r w:rsidR="00FF0454" w:rsidRPr="00FF17EC">
              <w:rPr>
                <w:szCs w:val="20"/>
              </w:rPr>
              <w:t>eats</w:t>
            </w:r>
            <w:r w:rsidR="001A45AB" w:rsidRPr="00FF17EC">
              <w:rPr>
                <w:szCs w:val="20"/>
              </w:rPr>
              <w:t xml:space="preserve"> </w:t>
            </w:r>
            <w:r w:rsidR="00FF0454" w:rsidRPr="00FF17EC">
              <w:rPr>
                <w:szCs w:val="20"/>
              </w:rPr>
              <w:t>of districts</w:t>
            </w:r>
          </w:p>
        </w:tc>
      </w:tr>
      <w:tr w:rsidR="00057209" w:rsidRPr="00FF17EC" w:rsidTr="00AF129E">
        <w:tc>
          <w:tcPr>
            <w:tcW w:w="1134" w:type="dxa"/>
            <w:vMerge w:val="restart"/>
            <w:tcBorders>
              <w:top w:val="single" w:sz="18" w:space="0" w:color="auto"/>
              <w:left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Romania</w:t>
            </w:r>
          </w:p>
        </w:tc>
        <w:tc>
          <w:tcPr>
            <w:tcW w:w="1476" w:type="dxa"/>
            <w:tcBorders>
              <w:top w:val="single" w:sz="1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Timiş</w:t>
            </w:r>
          </w:p>
        </w:tc>
        <w:tc>
          <w:tcPr>
            <w:tcW w:w="4903" w:type="dxa"/>
            <w:tcBorders>
              <w:top w:val="single" w:sz="1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County (Judeţ) (NUTS2 West)</w:t>
            </w:r>
          </w:p>
        </w:tc>
        <w:tc>
          <w:tcPr>
            <w:tcW w:w="1701" w:type="dxa"/>
            <w:tcBorders>
              <w:top w:val="single" w:sz="1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Timișoara</w:t>
            </w:r>
          </w:p>
        </w:tc>
      </w:tr>
      <w:tr w:rsidR="00057209" w:rsidRPr="00FF17EC" w:rsidTr="00AF129E">
        <w:tc>
          <w:tcPr>
            <w:tcW w:w="1134" w:type="dxa"/>
            <w:vMerge/>
            <w:tcBorders>
              <w:left w:val="single" w:sz="8" w:space="0" w:color="auto"/>
              <w:right w:val="single" w:sz="8" w:space="0" w:color="auto"/>
            </w:tcBorders>
          </w:tcPr>
          <w:p w:rsidR="003B1322" w:rsidRPr="00FF17EC" w:rsidRDefault="003B1322" w:rsidP="006433A2">
            <w:pPr>
              <w:pStyle w:val="BodyText"/>
              <w:keepNext/>
              <w:spacing w:after="0" w:line="240" w:lineRule="auto"/>
              <w:rPr>
                <w:b w:val="0"/>
                <w:szCs w:val="20"/>
              </w:rPr>
            </w:pPr>
          </w:p>
        </w:tc>
        <w:tc>
          <w:tcPr>
            <w:tcW w:w="1476"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Caraş-Severin</w:t>
            </w:r>
          </w:p>
        </w:tc>
        <w:tc>
          <w:tcPr>
            <w:tcW w:w="4903"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County (Judeţ) (NUTS2 West)</w:t>
            </w:r>
          </w:p>
        </w:tc>
        <w:tc>
          <w:tcPr>
            <w:tcW w:w="1701"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Reșița</w:t>
            </w:r>
          </w:p>
        </w:tc>
      </w:tr>
      <w:tr w:rsidR="00057209" w:rsidRPr="00FF17EC" w:rsidTr="00AF129E">
        <w:trPr>
          <w:trHeight w:val="251"/>
        </w:trPr>
        <w:tc>
          <w:tcPr>
            <w:tcW w:w="1134" w:type="dxa"/>
            <w:vMerge/>
            <w:tcBorders>
              <w:left w:val="single" w:sz="8" w:space="0" w:color="auto"/>
              <w:bottom w:val="single" w:sz="8" w:space="0" w:color="auto"/>
              <w:right w:val="single" w:sz="8" w:space="0" w:color="auto"/>
            </w:tcBorders>
          </w:tcPr>
          <w:p w:rsidR="003B1322" w:rsidRPr="00FF17EC" w:rsidRDefault="003B1322" w:rsidP="006433A2">
            <w:pPr>
              <w:pStyle w:val="BodyText"/>
              <w:keepNext/>
              <w:spacing w:after="0" w:line="240" w:lineRule="auto"/>
              <w:rPr>
                <w:b w:val="0"/>
                <w:szCs w:val="20"/>
              </w:rPr>
            </w:pPr>
          </w:p>
        </w:tc>
        <w:tc>
          <w:tcPr>
            <w:tcW w:w="1476"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Mehedinţi</w:t>
            </w:r>
          </w:p>
        </w:tc>
        <w:tc>
          <w:tcPr>
            <w:tcW w:w="4903"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County (Judeţ) (NUTS2 South West)</w:t>
            </w:r>
          </w:p>
        </w:tc>
        <w:tc>
          <w:tcPr>
            <w:tcW w:w="1701"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Drobeta Turnu-Severin</w:t>
            </w:r>
          </w:p>
        </w:tc>
      </w:tr>
      <w:tr w:rsidR="00057209" w:rsidRPr="00FF17EC" w:rsidTr="00AF129E">
        <w:tc>
          <w:tcPr>
            <w:tcW w:w="1134" w:type="dxa"/>
            <w:vMerge w:val="restart"/>
            <w:tcBorders>
              <w:top w:val="single" w:sz="8" w:space="0" w:color="auto"/>
              <w:left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Republic of Serbia</w:t>
            </w:r>
          </w:p>
        </w:tc>
        <w:tc>
          <w:tcPr>
            <w:tcW w:w="1476"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Severno-Banatski</w:t>
            </w:r>
          </w:p>
        </w:tc>
        <w:tc>
          <w:tcPr>
            <w:tcW w:w="4903" w:type="dxa"/>
            <w:tcBorders>
              <w:top w:val="single" w:sz="8" w:space="0" w:color="auto"/>
              <w:left w:val="single" w:sz="8" w:space="0" w:color="auto"/>
              <w:bottom w:val="single" w:sz="8" w:space="0" w:color="auto"/>
              <w:right w:val="single" w:sz="8" w:space="0" w:color="auto"/>
            </w:tcBorders>
          </w:tcPr>
          <w:p w:rsidR="003B1322" w:rsidRPr="00FF17EC" w:rsidRDefault="00A44446" w:rsidP="006433A2">
            <w:pPr>
              <w:pStyle w:val="BodyText"/>
              <w:keepNext/>
              <w:spacing w:after="0" w:line="240" w:lineRule="auto"/>
              <w:rPr>
                <w:b w:val="0"/>
                <w:szCs w:val="20"/>
                <w:lang w:val="en-US"/>
              </w:rPr>
            </w:pPr>
            <w:r w:rsidRPr="00FF17EC">
              <w:rPr>
                <w:b w:val="0"/>
                <w:szCs w:val="20"/>
                <w:lang w:val="en-US"/>
              </w:rPr>
              <w:t>Severno Banatski</w:t>
            </w:r>
            <w:r w:rsidR="00FF0454" w:rsidRPr="00FF17EC">
              <w:rPr>
                <w:b w:val="0"/>
                <w:szCs w:val="20"/>
                <w:lang w:val="en-US"/>
              </w:rPr>
              <w:t xml:space="preserve"> (part of Vojvodina Autonomous Province, NUTS2</w:t>
            </w:r>
            <w:r w:rsidR="00057209" w:rsidRPr="00FF17EC">
              <w:rPr>
                <w:rStyle w:val="FootnoteReference"/>
                <w:b w:val="0"/>
                <w:szCs w:val="20"/>
                <w:lang w:val="fr-FR"/>
              </w:rPr>
              <w:footnoteReference w:id="3"/>
            </w:r>
            <w:r w:rsidR="00FF0454" w:rsidRPr="00FF17EC">
              <w:rPr>
                <w:b w:val="0"/>
                <w:szCs w:val="20"/>
                <w:lang w:val="en-US"/>
              </w:rPr>
              <w:t>)</w:t>
            </w:r>
          </w:p>
        </w:tc>
        <w:tc>
          <w:tcPr>
            <w:tcW w:w="1701"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Kikinda</w:t>
            </w:r>
          </w:p>
        </w:tc>
      </w:tr>
      <w:tr w:rsidR="00057209" w:rsidRPr="00FF17EC" w:rsidTr="00AF129E">
        <w:tc>
          <w:tcPr>
            <w:tcW w:w="1134" w:type="dxa"/>
            <w:vMerge/>
            <w:tcBorders>
              <w:left w:val="single" w:sz="8" w:space="0" w:color="auto"/>
              <w:right w:val="single" w:sz="8" w:space="0" w:color="auto"/>
            </w:tcBorders>
          </w:tcPr>
          <w:p w:rsidR="003B1322" w:rsidRPr="00FF17EC" w:rsidRDefault="003B1322" w:rsidP="006433A2">
            <w:pPr>
              <w:pStyle w:val="BodyText"/>
              <w:keepNext/>
              <w:spacing w:after="0" w:line="240" w:lineRule="auto"/>
              <w:rPr>
                <w:b w:val="0"/>
                <w:szCs w:val="20"/>
              </w:rPr>
            </w:pPr>
          </w:p>
        </w:tc>
        <w:tc>
          <w:tcPr>
            <w:tcW w:w="1476"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Srednje-Banatski</w:t>
            </w:r>
          </w:p>
        </w:tc>
        <w:tc>
          <w:tcPr>
            <w:tcW w:w="4903" w:type="dxa"/>
            <w:tcBorders>
              <w:top w:val="single" w:sz="8" w:space="0" w:color="auto"/>
              <w:left w:val="single" w:sz="8" w:space="0" w:color="auto"/>
              <w:bottom w:val="single" w:sz="8" w:space="0" w:color="auto"/>
              <w:right w:val="single" w:sz="8" w:space="0" w:color="auto"/>
            </w:tcBorders>
          </w:tcPr>
          <w:p w:rsidR="003B1322" w:rsidRPr="00FF17EC" w:rsidRDefault="00A44446" w:rsidP="006433A2">
            <w:pPr>
              <w:pStyle w:val="BodyText"/>
              <w:keepNext/>
              <w:spacing w:after="0" w:line="240" w:lineRule="auto"/>
              <w:rPr>
                <w:b w:val="0"/>
                <w:szCs w:val="20"/>
              </w:rPr>
            </w:pPr>
            <w:r w:rsidRPr="00FF17EC">
              <w:rPr>
                <w:b w:val="0"/>
                <w:szCs w:val="20"/>
              </w:rPr>
              <w:t>Srednje Banatski</w:t>
            </w:r>
            <w:r w:rsidR="00687088" w:rsidRPr="00FF17EC">
              <w:rPr>
                <w:b w:val="0"/>
                <w:szCs w:val="20"/>
              </w:rPr>
              <w:t xml:space="preserve"> </w:t>
            </w:r>
            <w:r w:rsidR="00057209" w:rsidRPr="00FF17EC">
              <w:rPr>
                <w:b w:val="0"/>
                <w:szCs w:val="20"/>
              </w:rPr>
              <w:t>(part of Vojvodina Autonomous Province NUTS2)</w:t>
            </w:r>
          </w:p>
        </w:tc>
        <w:tc>
          <w:tcPr>
            <w:tcW w:w="1701"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Zrenjanin</w:t>
            </w:r>
          </w:p>
        </w:tc>
      </w:tr>
      <w:tr w:rsidR="00057209" w:rsidRPr="00FF17EC" w:rsidTr="00AF129E">
        <w:tc>
          <w:tcPr>
            <w:tcW w:w="1134" w:type="dxa"/>
            <w:vMerge/>
            <w:tcBorders>
              <w:left w:val="single" w:sz="8" w:space="0" w:color="auto"/>
              <w:right w:val="single" w:sz="8" w:space="0" w:color="auto"/>
            </w:tcBorders>
          </w:tcPr>
          <w:p w:rsidR="003B1322" w:rsidRPr="00FF17EC" w:rsidRDefault="003B1322" w:rsidP="006433A2">
            <w:pPr>
              <w:pStyle w:val="BodyText"/>
              <w:keepNext/>
              <w:spacing w:after="0" w:line="240" w:lineRule="auto"/>
              <w:rPr>
                <w:b w:val="0"/>
                <w:szCs w:val="20"/>
              </w:rPr>
            </w:pPr>
          </w:p>
        </w:tc>
        <w:tc>
          <w:tcPr>
            <w:tcW w:w="1476"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Južno-Banatski</w:t>
            </w:r>
          </w:p>
        </w:tc>
        <w:tc>
          <w:tcPr>
            <w:tcW w:w="4903" w:type="dxa"/>
            <w:tcBorders>
              <w:top w:val="single" w:sz="8" w:space="0" w:color="auto"/>
              <w:left w:val="single" w:sz="8" w:space="0" w:color="auto"/>
              <w:bottom w:val="single" w:sz="8" w:space="0" w:color="auto"/>
              <w:right w:val="single" w:sz="8" w:space="0" w:color="auto"/>
            </w:tcBorders>
          </w:tcPr>
          <w:p w:rsidR="003B1322" w:rsidRPr="00FF17EC" w:rsidRDefault="00A44446" w:rsidP="006433A2">
            <w:pPr>
              <w:pStyle w:val="BodyText"/>
              <w:keepNext/>
              <w:spacing w:after="0" w:line="240" w:lineRule="auto"/>
              <w:rPr>
                <w:b w:val="0"/>
                <w:szCs w:val="20"/>
              </w:rPr>
            </w:pPr>
            <w:r w:rsidRPr="00FF17EC">
              <w:rPr>
                <w:b w:val="0"/>
                <w:szCs w:val="20"/>
              </w:rPr>
              <w:t>Južno Banatski</w:t>
            </w:r>
            <w:r w:rsidR="00687088" w:rsidRPr="00FF17EC">
              <w:rPr>
                <w:b w:val="0"/>
                <w:szCs w:val="20"/>
              </w:rPr>
              <w:t xml:space="preserve"> </w:t>
            </w:r>
            <w:r w:rsidR="00057209" w:rsidRPr="00FF17EC">
              <w:rPr>
                <w:b w:val="0"/>
                <w:szCs w:val="20"/>
              </w:rPr>
              <w:t>(part of Vojvodina Autonomous Province NUTS2)</w:t>
            </w:r>
          </w:p>
        </w:tc>
        <w:tc>
          <w:tcPr>
            <w:tcW w:w="1701" w:type="dxa"/>
            <w:tcBorders>
              <w:top w:val="single" w:sz="8" w:space="0" w:color="auto"/>
              <w:left w:val="single" w:sz="8" w:space="0" w:color="auto"/>
              <w:bottom w:val="single" w:sz="8" w:space="0" w:color="auto"/>
              <w:right w:val="single" w:sz="8" w:space="0" w:color="auto"/>
            </w:tcBorders>
          </w:tcPr>
          <w:p w:rsidR="003B1322" w:rsidRPr="00FF17EC" w:rsidRDefault="005555DF" w:rsidP="006433A2">
            <w:pPr>
              <w:pStyle w:val="BodyText"/>
              <w:keepNext/>
              <w:spacing w:after="0" w:line="240" w:lineRule="auto"/>
              <w:rPr>
                <w:b w:val="0"/>
                <w:szCs w:val="20"/>
              </w:rPr>
            </w:pPr>
            <w:r w:rsidRPr="00FF17EC">
              <w:rPr>
                <w:b w:val="0"/>
                <w:szCs w:val="20"/>
              </w:rPr>
              <w:t>Pančevo</w:t>
            </w:r>
          </w:p>
        </w:tc>
      </w:tr>
      <w:tr w:rsidR="00057209" w:rsidRPr="00FF17EC" w:rsidTr="00AF129E">
        <w:tc>
          <w:tcPr>
            <w:tcW w:w="1134" w:type="dxa"/>
            <w:vMerge/>
            <w:tcBorders>
              <w:left w:val="single" w:sz="8" w:space="0" w:color="auto"/>
              <w:right w:val="single" w:sz="8" w:space="0" w:color="auto"/>
            </w:tcBorders>
          </w:tcPr>
          <w:p w:rsidR="003B1322" w:rsidRPr="00FF17EC" w:rsidRDefault="003B1322" w:rsidP="006433A2">
            <w:pPr>
              <w:pStyle w:val="BodyText"/>
              <w:keepNext/>
              <w:spacing w:after="0" w:line="240" w:lineRule="auto"/>
              <w:rPr>
                <w:b w:val="0"/>
                <w:szCs w:val="20"/>
              </w:rPr>
            </w:pPr>
          </w:p>
        </w:tc>
        <w:tc>
          <w:tcPr>
            <w:tcW w:w="1476"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Braničevski</w:t>
            </w:r>
          </w:p>
        </w:tc>
        <w:tc>
          <w:tcPr>
            <w:tcW w:w="4903"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District (part of South East Serbia Region NUTS2)</w:t>
            </w:r>
          </w:p>
        </w:tc>
        <w:tc>
          <w:tcPr>
            <w:tcW w:w="1701" w:type="dxa"/>
            <w:tcBorders>
              <w:top w:val="single" w:sz="8" w:space="0" w:color="auto"/>
              <w:left w:val="single" w:sz="8" w:space="0" w:color="auto"/>
              <w:bottom w:val="single" w:sz="8" w:space="0" w:color="auto"/>
              <w:right w:val="single" w:sz="8" w:space="0" w:color="auto"/>
            </w:tcBorders>
          </w:tcPr>
          <w:p w:rsidR="003B1322" w:rsidRPr="00FF17EC" w:rsidRDefault="005555DF" w:rsidP="006433A2">
            <w:pPr>
              <w:pStyle w:val="BodyText"/>
              <w:keepNext/>
              <w:spacing w:after="0" w:line="240" w:lineRule="auto"/>
              <w:rPr>
                <w:b w:val="0"/>
                <w:szCs w:val="20"/>
              </w:rPr>
            </w:pPr>
            <w:r w:rsidRPr="00FF17EC">
              <w:rPr>
                <w:b w:val="0"/>
                <w:szCs w:val="20"/>
              </w:rPr>
              <w:t>Požarevac</w:t>
            </w:r>
          </w:p>
        </w:tc>
      </w:tr>
      <w:tr w:rsidR="00057209" w:rsidRPr="00FF17EC" w:rsidTr="00AF129E">
        <w:tc>
          <w:tcPr>
            <w:tcW w:w="1134" w:type="dxa"/>
            <w:vMerge/>
            <w:tcBorders>
              <w:left w:val="single" w:sz="8" w:space="0" w:color="auto"/>
              <w:bottom w:val="single" w:sz="8" w:space="0" w:color="auto"/>
              <w:right w:val="single" w:sz="8" w:space="0" w:color="auto"/>
            </w:tcBorders>
          </w:tcPr>
          <w:p w:rsidR="003B1322" w:rsidRPr="00FF17EC" w:rsidRDefault="003B1322" w:rsidP="006433A2">
            <w:pPr>
              <w:pStyle w:val="BodyText"/>
              <w:keepNext/>
              <w:spacing w:after="0" w:line="240" w:lineRule="auto"/>
              <w:rPr>
                <w:b w:val="0"/>
                <w:szCs w:val="20"/>
              </w:rPr>
            </w:pPr>
          </w:p>
        </w:tc>
        <w:tc>
          <w:tcPr>
            <w:tcW w:w="1476"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Borski</w:t>
            </w:r>
          </w:p>
        </w:tc>
        <w:tc>
          <w:tcPr>
            <w:tcW w:w="4903"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District(part of South East Serbia Region NUTS2)</w:t>
            </w:r>
          </w:p>
        </w:tc>
        <w:tc>
          <w:tcPr>
            <w:tcW w:w="1701" w:type="dxa"/>
            <w:tcBorders>
              <w:top w:val="single" w:sz="8" w:space="0" w:color="auto"/>
              <w:left w:val="single" w:sz="8" w:space="0" w:color="auto"/>
              <w:bottom w:val="single" w:sz="8" w:space="0" w:color="auto"/>
              <w:right w:val="single" w:sz="8" w:space="0" w:color="auto"/>
            </w:tcBorders>
          </w:tcPr>
          <w:p w:rsidR="003B1322" w:rsidRPr="00FF17EC" w:rsidRDefault="00057209" w:rsidP="006433A2">
            <w:pPr>
              <w:pStyle w:val="BodyText"/>
              <w:keepNext/>
              <w:spacing w:after="0" w:line="240" w:lineRule="auto"/>
              <w:rPr>
                <w:b w:val="0"/>
                <w:szCs w:val="20"/>
              </w:rPr>
            </w:pPr>
            <w:r w:rsidRPr="00FF17EC">
              <w:rPr>
                <w:b w:val="0"/>
                <w:szCs w:val="20"/>
              </w:rPr>
              <w:t>Bor</w:t>
            </w:r>
          </w:p>
        </w:tc>
      </w:tr>
      <w:tr w:rsidR="00AF129E" w:rsidRPr="00FF17EC" w:rsidTr="00AF129E">
        <w:tc>
          <w:tcPr>
            <w:tcW w:w="1134" w:type="dxa"/>
            <w:tcBorders>
              <w:left w:val="single" w:sz="8" w:space="0" w:color="auto"/>
              <w:bottom w:val="single" w:sz="8" w:space="0" w:color="auto"/>
              <w:right w:val="single" w:sz="8" w:space="0" w:color="auto"/>
            </w:tcBorders>
          </w:tcPr>
          <w:p w:rsidR="00AF129E" w:rsidRPr="00FF17EC" w:rsidRDefault="00AF129E" w:rsidP="006433A2">
            <w:pPr>
              <w:pStyle w:val="BodyText"/>
              <w:keepNext/>
              <w:spacing w:after="0" w:line="240" w:lineRule="auto"/>
              <w:rPr>
                <w:b w:val="0"/>
                <w:szCs w:val="20"/>
              </w:rPr>
            </w:pPr>
          </w:p>
        </w:tc>
        <w:tc>
          <w:tcPr>
            <w:tcW w:w="1476" w:type="dxa"/>
            <w:tcBorders>
              <w:top w:val="single" w:sz="8" w:space="0" w:color="auto"/>
              <w:left w:val="single" w:sz="8" w:space="0" w:color="auto"/>
              <w:bottom w:val="single" w:sz="8" w:space="0" w:color="auto"/>
              <w:right w:val="single" w:sz="8" w:space="0" w:color="auto"/>
            </w:tcBorders>
          </w:tcPr>
          <w:p w:rsidR="00AF129E" w:rsidRPr="00FF17EC" w:rsidRDefault="00AF129E" w:rsidP="00B645B3">
            <w:pPr>
              <w:pStyle w:val="BodyText"/>
              <w:keepNext/>
              <w:spacing w:after="0" w:line="240" w:lineRule="auto"/>
              <w:rPr>
                <w:b w:val="0"/>
                <w:szCs w:val="20"/>
              </w:rPr>
            </w:pPr>
            <w:r w:rsidRPr="00FF17EC">
              <w:rPr>
                <w:rFonts w:eastAsia="Batang"/>
              </w:rPr>
              <w:t>Podunavsk</w:t>
            </w:r>
            <w:r w:rsidR="00B645B3" w:rsidRPr="00FF17EC">
              <w:rPr>
                <w:rFonts w:eastAsia="Batang"/>
              </w:rPr>
              <w:t>i</w:t>
            </w:r>
          </w:p>
        </w:tc>
        <w:tc>
          <w:tcPr>
            <w:tcW w:w="4903" w:type="dxa"/>
            <w:tcBorders>
              <w:top w:val="single" w:sz="8" w:space="0" w:color="auto"/>
              <w:left w:val="single" w:sz="8" w:space="0" w:color="auto"/>
              <w:bottom w:val="single" w:sz="8" w:space="0" w:color="auto"/>
              <w:right w:val="single" w:sz="8" w:space="0" w:color="auto"/>
            </w:tcBorders>
          </w:tcPr>
          <w:p w:rsidR="00AF129E" w:rsidRPr="00FF17EC" w:rsidRDefault="00AF129E" w:rsidP="006433A2">
            <w:pPr>
              <w:pStyle w:val="BodyText"/>
              <w:keepNext/>
              <w:spacing w:after="0" w:line="240" w:lineRule="auto"/>
              <w:rPr>
                <w:b w:val="0"/>
                <w:szCs w:val="20"/>
              </w:rPr>
            </w:pPr>
            <w:r w:rsidRPr="00FF17EC">
              <w:rPr>
                <w:b w:val="0"/>
                <w:szCs w:val="20"/>
              </w:rPr>
              <w:t>District(part of South East Serbia Region NUTS2)</w:t>
            </w:r>
          </w:p>
        </w:tc>
        <w:tc>
          <w:tcPr>
            <w:tcW w:w="1701" w:type="dxa"/>
            <w:tcBorders>
              <w:top w:val="single" w:sz="8" w:space="0" w:color="auto"/>
              <w:left w:val="single" w:sz="8" w:space="0" w:color="auto"/>
              <w:bottom w:val="single" w:sz="8" w:space="0" w:color="auto"/>
              <w:right w:val="single" w:sz="8" w:space="0" w:color="auto"/>
            </w:tcBorders>
          </w:tcPr>
          <w:p w:rsidR="00AF129E" w:rsidRPr="00FF17EC" w:rsidRDefault="00AF129E" w:rsidP="006433A2">
            <w:pPr>
              <w:pStyle w:val="BodyText"/>
              <w:keepNext/>
              <w:spacing w:after="0" w:line="240" w:lineRule="auto"/>
              <w:rPr>
                <w:b w:val="0"/>
              </w:rPr>
            </w:pPr>
            <w:r w:rsidRPr="00FF17EC">
              <w:rPr>
                <w:rFonts w:cs="ArialMT"/>
                <w:b w:val="0"/>
                <w:lang w:val="en-US" w:eastAsia="it-IT"/>
              </w:rPr>
              <w:t>Smederevo</w:t>
            </w:r>
          </w:p>
        </w:tc>
      </w:tr>
    </w:tbl>
    <w:p w:rsidR="003B1322" w:rsidRPr="00FF17EC" w:rsidRDefault="00F21D79" w:rsidP="00F21D79">
      <w:pPr>
        <w:pStyle w:val="Caption"/>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2</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1</w:t>
      </w:r>
      <w:r w:rsidR="00085686" w:rsidRPr="00FF17EC">
        <w:rPr>
          <w:noProof/>
        </w:rPr>
        <w:fldChar w:fldCharType="end"/>
      </w:r>
      <w:r w:rsidRPr="00FF17EC">
        <w:t xml:space="preserve"> </w:t>
      </w:r>
      <w:r w:rsidR="00057209" w:rsidRPr="00FF17EC">
        <w:t>Eligible areas</w:t>
      </w:r>
    </w:p>
    <w:p w:rsidR="006A31D7" w:rsidRPr="00FF17EC" w:rsidRDefault="006A31D7" w:rsidP="00766BB2"/>
    <w:p w:rsidR="003A0AED" w:rsidRPr="00FF17EC" w:rsidRDefault="003A0AED" w:rsidP="00766BB2">
      <w:r w:rsidRPr="00FF17EC">
        <w:t>The eligible territory in Republic of Serbia represents 2</w:t>
      </w:r>
      <w:r w:rsidR="00B645B3" w:rsidRPr="00FF17EC">
        <w:t>0,8</w:t>
      </w:r>
      <w:r w:rsidRPr="00FF17EC">
        <w:t>%</w:t>
      </w:r>
      <w:r w:rsidR="006A31D7" w:rsidRPr="00FF17EC">
        <w:t xml:space="preserve"> of</w:t>
      </w:r>
      <w:r w:rsidRPr="00FF17EC">
        <w:t xml:space="preserve"> the total, a larger share </w:t>
      </w:r>
      <w:r w:rsidR="006A31D7" w:rsidRPr="00FF17EC">
        <w:t>than in</w:t>
      </w:r>
      <w:r w:rsidRPr="00FF17EC">
        <w:t xml:space="preserve"> Romania</w:t>
      </w:r>
      <w:r w:rsidR="00C73C51" w:rsidRPr="00FF17EC">
        <w:t>,</w:t>
      </w:r>
      <w:r w:rsidRPr="00FF17EC">
        <w:t xml:space="preserve"> were the three </w:t>
      </w:r>
      <w:r w:rsidR="006A31D7" w:rsidRPr="00FF17EC">
        <w:t xml:space="preserve">eligible </w:t>
      </w:r>
      <w:r w:rsidR="006E565F" w:rsidRPr="00FF17EC">
        <w:t xml:space="preserve">counties </w:t>
      </w:r>
      <w:r w:rsidRPr="00FF17EC">
        <w:t>represent just 9% of the national territory.</w:t>
      </w:r>
    </w:p>
    <w:p w:rsidR="003A0AED" w:rsidRPr="00FF17EC" w:rsidRDefault="003A0AED" w:rsidP="00766BB2">
      <w:pPr>
        <w:rPr>
          <w:rFonts w:eastAsia="Batang"/>
        </w:rPr>
      </w:pPr>
      <w:r w:rsidRPr="00FF17EC">
        <w:t xml:space="preserve">The </w:t>
      </w:r>
      <w:r w:rsidRPr="00FF17EC">
        <w:rPr>
          <w:rFonts w:eastAsia="Batang"/>
        </w:rPr>
        <w:t>length</w:t>
      </w:r>
      <w:r w:rsidRPr="00FF17EC">
        <w:t xml:space="preserve"> of the border </w:t>
      </w:r>
      <w:r w:rsidR="006A31D7" w:rsidRPr="00FF17EC">
        <w:t>in the</w:t>
      </w:r>
      <w:r w:rsidRPr="00FF17EC">
        <w:t xml:space="preserve"> eligible territories </w:t>
      </w:r>
      <w:r w:rsidR="006A31D7" w:rsidRPr="00FF17EC">
        <w:t>between Romania</w:t>
      </w:r>
      <w:r w:rsidRPr="00FF17EC">
        <w:t xml:space="preserve"> and Republic of Serbia is </w:t>
      </w:r>
      <w:r w:rsidRPr="00FF17EC">
        <w:rPr>
          <w:rFonts w:eastAsia="Batang"/>
        </w:rPr>
        <w:t xml:space="preserve">546 km, out of which 290 km (53,1 %) on the Danube river. The length of the border in the programme area represents 26% of the external borders of Republic of Serbia, </w:t>
      </w:r>
      <w:r w:rsidR="006A31D7" w:rsidRPr="00FF17EC">
        <w:rPr>
          <w:rFonts w:eastAsia="Batang"/>
        </w:rPr>
        <w:t>and 17</w:t>
      </w:r>
      <w:r w:rsidRPr="00FF17EC">
        <w:rPr>
          <w:rFonts w:eastAsia="Batang"/>
        </w:rPr>
        <w:t xml:space="preserve">% of the external borders of Romania. </w:t>
      </w:r>
    </w:p>
    <w:p w:rsidR="00EE702C" w:rsidRPr="00FF17EC" w:rsidRDefault="00EE702C" w:rsidP="00EE702C">
      <w:pPr>
        <w:rPr>
          <w:rFonts w:eastAsia="Batang"/>
        </w:rPr>
      </w:pPr>
      <w:r w:rsidRPr="00FF17EC">
        <w:rPr>
          <w:rFonts w:eastAsia="Batang"/>
        </w:rPr>
        <w:t>Along this common border there are 5 constantly operating road border crossings and 2 constantly operating railroad crossings. Also, there are 6 fluvial ports in Serbia, and 3 on the Romanian shore.</w:t>
      </w:r>
    </w:p>
    <w:p w:rsidR="003A0AED" w:rsidRPr="00FF17EC" w:rsidRDefault="003A0AED" w:rsidP="00766BB2">
      <w:r w:rsidRPr="00FF17EC">
        <w:t xml:space="preserve">According </w:t>
      </w:r>
      <w:r w:rsidR="006A31D7" w:rsidRPr="00FF17EC">
        <w:t xml:space="preserve">to </w:t>
      </w:r>
      <w:r w:rsidR="00D859B5" w:rsidRPr="00FF17EC">
        <w:t xml:space="preserve">the </w:t>
      </w:r>
      <w:r w:rsidR="006A31D7" w:rsidRPr="00FF17EC">
        <w:t>2011</w:t>
      </w:r>
      <w:r w:rsidRPr="00FF17EC">
        <w:t xml:space="preserve"> census</w:t>
      </w:r>
      <w:r w:rsidR="00376F90" w:rsidRPr="00FF17EC">
        <w:rPr>
          <w:rStyle w:val="FootnoteReference"/>
        </w:rPr>
        <w:footnoteReference w:id="4"/>
      </w:r>
      <w:r w:rsidRPr="00FF17EC">
        <w:t xml:space="preserve">, a population </w:t>
      </w:r>
      <w:r w:rsidR="006A31D7" w:rsidRPr="00FF17EC">
        <w:t>of roughly</w:t>
      </w:r>
      <w:r w:rsidRPr="00FF17EC">
        <w:t xml:space="preserve"> 2,</w:t>
      </w:r>
      <w:r w:rsidR="00D54FFD" w:rsidRPr="00FF17EC">
        <w:t>4</w:t>
      </w:r>
      <w:r w:rsidRPr="00FF17EC">
        <w:t xml:space="preserve"> million live in the </w:t>
      </w:r>
      <w:r w:rsidR="00251FF8" w:rsidRPr="00FF17EC">
        <w:t>eligible area</w:t>
      </w:r>
      <w:r w:rsidRPr="00FF17EC">
        <w:t>, that represents roughly</w:t>
      </w:r>
      <w:r w:rsidR="00687088" w:rsidRPr="00FF17EC">
        <w:t xml:space="preserve"> </w:t>
      </w:r>
      <w:r w:rsidR="00D54FFD" w:rsidRPr="00FF17EC">
        <w:t>9</w:t>
      </w:r>
      <w:r w:rsidRPr="00FF17EC">
        <w:t xml:space="preserve">% of the total combined national populations of Romania and Republic of </w:t>
      </w:r>
      <w:r w:rsidRPr="00FF17EC">
        <w:lastRenderedPageBreak/>
        <w:t>Serbia.</w:t>
      </w:r>
      <w:r w:rsidR="007D1DDB" w:rsidRPr="00FF17EC">
        <w:t xml:space="preserve"> </w:t>
      </w:r>
      <w:r w:rsidRPr="00FF17EC">
        <w:t xml:space="preserve">Based on the most recent estimations, in the </w:t>
      </w:r>
      <w:r w:rsidR="00251FF8" w:rsidRPr="00FF17EC">
        <w:t xml:space="preserve">eligible </w:t>
      </w:r>
      <w:r w:rsidRPr="00FF17EC">
        <w:t xml:space="preserve">area </w:t>
      </w:r>
      <w:r w:rsidR="00D859B5" w:rsidRPr="00FF17EC">
        <w:t xml:space="preserve">it </w:t>
      </w:r>
      <w:r w:rsidRPr="00FF17EC">
        <w:t xml:space="preserve">is produced </w:t>
      </w:r>
      <w:r w:rsidR="00EC5498" w:rsidRPr="00FF17EC">
        <w:t>roughly 7</w:t>
      </w:r>
      <w:r w:rsidR="007F0700" w:rsidRPr="00FF17EC">
        <w:t xml:space="preserve">.5 </w:t>
      </w:r>
      <w:r w:rsidR="00BF1D0F" w:rsidRPr="00FF17EC">
        <w:t>%</w:t>
      </w:r>
      <w:r w:rsidRPr="00FF17EC">
        <w:t xml:space="preserve"> of the </w:t>
      </w:r>
      <w:r w:rsidR="006A31D7" w:rsidRPr="00FF17EC">
        <w:t>GDP of</w:t>
      </w:r>
      <w:r w:rsidRPr="00FF17EC">
        <w:t xml:space="preserve"> the </w:t>
      </w:r>
      <w:r w:rsidR="006A31D7" w:rsidRPr="00FF17EC">
        <w:t>combined national</w:t>
      </w:r>
      <w:r w:rsidRPr="00FF17EC">
        <w:t xml:space="preserve"> GDP of the two countries.</w:t>
      </w:r>
    </w:p>
    <w:p w:rsidR="003A0AED" w:rsidRPr="00FF17EC" w:rsidRDefault="003A0AED" w:rsidP="00766BB2">
      <w:r w:rsidRPr="00FF17EC">
        <w:t xml:space="preserve">The geography of the region is complex </w:t>
      </w:r>
      <w:r w:rsidR="006A31D7" w:rsidRPr="00FF17EC">
        <w:t>and heterogeneous</w:t>
      </w:r>
      <w:r w:rsidRPr="00FF17EC">
        <w:t xml:space="preserve">. </w:t>
      </w:r>
    </w:p>
    <w:p w:rsidR="003E5675" w:rsidRPr="00FF17EC" w:rsidRDefault="003A0AED" w:rsidP="00766BB2">
      <w:r w:rsidRPr="00FF17EC">
        <w:t xml:space="preserve">The Banat </w:t>
      </w:r>
      <w:r w:rsidR="006A31D7" w:rsidRPr="00FF17EC">
        <w:t>Plains extend</w:t>
      </w:r>
      <w:r w:rsidRPr="00FF17EC">
        <w:t xml:space="preserve"> in the North in the Serbian Districts and Timi</w:t>
      </w:r>
      <w:r w:rsidR="00251FF8" w:rsidRPr="00FF17EC">
        <w:rPr>
          <w:lang w:val="ro-RO"/>
        </w:rPr>
        <w:t>ș</w:t>
      </w:r>
      <w:r w:rsidRPr="00FF17EC">
        <w:t xml:space="preserve"> </w:t>
      </w:r>
      <w:r w:rsidR="006A7498" w:rsidRPr="00FF17EC">
        <w:t>County</w:t>
      </w:r>
      <w:r w:rsidR="00EC5498" w:rsidRPr="00FF17EC">
        <w:t xml:space="preserve">. </w:t>
      </w:r>
      <w:r w:rsidRPr="00FF17EC">
        <w:t xml:space="preserve">Moving to South </w:t>
      </w:r>
      <w:r w:rsidR="00D859B5" w:rsidRPr="00FF17EC">
        <w:t>E</w:t>
      </w:r>
      <w:r w:rsidRPr="00FF17EC">
        <w:t xml:space="preserve">ast, transition hills between the plans </w:t>
      </w:r>
      <w:r w:rsidR="00F2792A" w:rsidRPr="00FF17EC">
        <w:t>and Mountains</w:t>
      </w:r>
      <w:r w:rsidRPr="00FF17EC">
        <w:t xml:space="preserve"> lead </w:t>
      </w:r>
      <w:r w:rsidR="00F2792A" w:rsidRPr="00FF17EC">
        <w:t>to the</w:t>
      </w:r>
      <w:r w:rsidRPr="00FF17EC">
        <w:t xml:space="preserve"> centre </w:t>
      </w:r>
      <w:r w:rsidR="00F2792A" w:rsidRPr="00FF17EC">
        <w:t>occupied by</w:t>
      </w:r>
      <w:r w:rsidRPr="00FF17EC">
        <w:t xml:space="preserve"> the Southern Carpathians range, with Banat Mountains, </w:t>
      </w:r>
      <w:r w:rsidR="00251FF8" w:rsidRPr="00FF17EC">
        <w:t>Ț</w:t>
      </w:r>
      <w:r w:rsidRPr="00FF17EC">
        <w:t>arcu-Godeanu Mountains and Cernei Mountains and elevations between 600 and 2100 meters in Cara</w:t>
      </w:r>
      <w:r w:rsidR="00251FF8" w:rsidRPr="00FF17EC">
        <w:t>ș</w:t>
      </w:r>
      <w:r w:rsidRPr="00FF17EC">
        <w:t xml:space="preserve"> Severin district. The Danube flows in the South Banat plains, at the border with the </w:t>
      </w:r>
      <w:r w:rsidR="005555DF" w:rsidRPr="00FF17EC">
        <w:t>Braničevski</w:t>
      </w:r>
      <w:r w:rsidRPr="00FF17EC">
        <w:t xml:space="preserve"> distr</w:t>
      </w:r>
      <w:r w:rsidR="00EC5498" w:rsidRPr="00FF17EC">
        <w:t xml:space="preserve">ict, and it reaches the border </w:t>
      </w:r>
      <w:r w:rsidRPr="00FF17EC">
        <w:t>between Romania and Serbia in the vicinity of Bazia</w:t>
      </w:r>
      <w:r w:rsidR="00251FF8" w:rsidRPr="00FF17EC">
        <w:t>ș</w:t>
      </w:r>
      <w:r w:rsidRPr="00FF17EC">
        <w:t xml:space="preserve"> in Romania. In Romania, Timiș, Cerna, Caraș and Nera </w:t>
      </w:r>
      <w:r w:rsidR="00D859B5" w:rsidRPr="00FF17EC">
        <w:t>r</w:t>
      </w:r>
      <w:r w:rsidR="006819AC" w:rsidRPr="00FF17EC">
        <w:t>iver</w:t>
      </w:r>
      <w:r w:rsidR="00D859B5" w:rsidRPr="00FF17EC">
        <w:t>s</w:t>
      </w:r>
      <w:r w:rsidRPr="00FF17EC">
        <w:t xml:space="preserve"> cross the count</w:t>
      </w:r>
      <w:r w:rsidR="00D859B5" w:rsidRPr="00FF17EC">
        <w:t>ies</w:t>
      </w:r>
      <w:r w:rsidRPr="00FF17EC">
        <w:t xml:space="preserve">, some of them through </w:t>
      </w:r>
      <w:r w:rsidR="003E5675" w:rsidRPr="00FF17EC">
        <w:t>spectacular valleys and gorges. Also worth to mention the Bega channel, connected to the Rhine – Danube network.</w:t>
      </w:r>
    </w:p>
    <w:p w:rsidR="003A0AED" w:rsidRPr="00FF17EC" w:rsidRDefault="006A7498" w:rsidP="00766BB2">
      <w:r w:rsidRPr="00FF17EC">
        <w:t>Between the</w:t>
      </w:r>
      <w:r w:rsidR="003A0AED" w:rsidRPr="00FF17EC">
        <w:t xml:space="preserve"> southern Carpathian Mountains </w:t>
      </w:r>
      <w:r w:rsidR="006819AC" w:rsidRPr="00FF17EC">
        <w:t>and the</w:t>
      </w:r>
      <w:r w:rsidR="003A0AED" w:rsidRPr="00FF17EC">
        <w:t xml:space="preserve"> north</w:t>
      </w:r>
      <w:r w:rsidR="005555DF" w:rsidRPr="00FF17EC">
        <w:t>-</w:t>
      </w:r>
      <w:r w:rsidR="003A0AED" w:rsidRPr="00FF17EC">
        <w:t>western foo</w:t>
      </w:r>
      <w:r w:rsidR="007E1512" w:rsidRPr="00FF17EC">
        <w:t>thills of the Balkan Mountains</w:t>
      </w:r>
      <w:r w:rsidR="00D859B5" w:rsidRPr="00FF17EC">
        <w:t>,</w:t>
      </w:r>
      <w:r w:rsidR="007E1512" w:rsidRPr="00FF17EC">
        <w:t xml:space="preserve"> the Danube flows through </w:t>
      </w:r>
      <w:r w:rsidR="003A0AED" w:rsidRPr="00FF17EC">
        <w:t>the Iron Gates gorges</w:t>
      </w:r>
      <w:r w:rsidR="003F5289" w:rsidRPr="00FF17EC">
        <w:t xml:space="preserve"> (Iron Gates is another name of Đerdapska klisura and it is f</w:t>
      </w:r>
      <w:r w:rsidR="00EC5498" w:rsidRPr="00FF17EC">
        <w:t xml:space="preserve">rom Golubac to Simska klusura, </w:t>
      </w:r>
      <w:r w:rsidR="003F5289" w:rsidRPr="00FF17EC">
        <w:t>98 km. The Đerdap water gate is half on Romanian and half on Serbian side.)</w:t>
      </w:r>
      <w:r w:rsidR="003A0AED" w:rsidRPr="00FF17EC">
        <w:t xml:space="preserve">. The Romanian side of the gorge constitutes the Iron Gates natural park, whereas the Serbian part constitutes the Đerdap national park. In the South East </w:t>
      </w:r>
      <w:r w:rsidR="006819AC" w:rsidRPr="00FF17EC">
        <w:t>is the Western end</w:t>
      </w:r>
      <w:r w:rsidR="003A0AED" w:rsidRPr="00FF17EC">
        <w:t xml:space="preserve"> of the Southern Carpathians. In the </w:t>
      </w:r>
      <w:r w:rsidR="00DD11C9" w:rsidRPr="00FF17EC">
        <w:t>Borski</w:t>
      </w:r>
      <w:r w:rsidR="003A0AED" w:rsidRPr="00FF17EC">
        <w:t xml:space="preserve"> </w:t>
      </w:r>
      <w:r w:rsidR="006819AC" w:rsidRPr="00FF17EC">
        <w:t>district</w:t>
      </w:r>
      <w:r w:rsidR="003A0AED" w:rsidRPr="00FF17EC">
        <w:t xml:space="preserve"> are Veliki Krš, </w:t>
      </w:r>
      <w:hyperlink r:id="rId16" w:tooltip="Mali Krš" w:history="1">
        <w:r w:rsidR="003A0AED" w:rsidRPr="00FF17EC">
          <w:t>Mali Krš</w:t>
        </w:r>
      </w:hyperlink>
      <w:r w:rsidR="007D1DDB" w:rsidRPr="00FF17EC">
        <w:t xml:space="preserve"> </w:t>
      </w:r>
      <w:r w:rsidR="003A0AED" w:rsidRPr="00FF17EC">
        <w:t>and</w:t>
      </w:r>
      <w:r w:rsidR="007D1DDB" w:rsidRPr="00FF17EC">
        <w:t xml:space="preserve"> </w:t>
      </w:r>
      <w:hyperlink r:id="rId17" w:tooltip="Stol (Serbia)" w:history="1">
        <w:r w:rsidR="003A0AED" w:rsidRPr="00FF17EC">
          <w:t>Stol</w:t>
        </w:r>
      </w:hyperlink>
      <w:r w:rsidR="006819AC" w:rsidRPr="00FF17EC">
        <w:t xml:space="preserve"> mountains, </w:t>
      </w:r>
      <w:r w:rsidR="003A0AED" w:rsidRPr="00FF17EC">
        <w:t>dominated by</w:t>
      </w:r>
      <w:r w:rsidR="007D1DDB" w:rsidRPr="00FF17EC">
        <w:t xml:space="preserve"> </w:t>
      </w:r>
      <w:hyperlink r:id="rId18" w:tooltip="Karst" w:history="1">
        <w:r w:rsidR="003A0AED" w:rsidRPr="00FF17EC">
          <w:t>karst</w:t>
        </w:r>
      </w:hyperlink>
      <w:r w:rsidR="007D1DDB" w:rsidRPr="00FF17EC">
        <w:t xml:space="preserve"> </w:t>
      </w:r>
      <w:r w:rsidR="003A0AED" w:rsidRPr="00FF17EC">
        <w:t xml:space="preserve">formations, and are collectively known as "Gornjanski kras”. In Romania </w:t>
      </w:r>
      <w:r w:rsidR="006819AC" w:rsidRPr="00FF17EC">
        <w:t>are the</w:t>
      </w:r>
      <w:r w:rsidR="003A0AED" w:rsidRPr="00FF17EC">
        <w:t xml:space="preserve"> Mehedinţi Mountains with heights </w:t>
      </w:r>
      <w:r w:rsidR="00636380" w:rsidRPr="00FF17EC">
        <w:t xml:space="preserve">of </w:t>
      </w:r>
      <w:r w:rsidR="003A0AED" w:rsidRPr="00FF17EC">
        <w:t xml:space="preserve">up to 1500 m. The heights decrease towards the South East, passing through the hills to a high </w:t>
      </w:r>
      <w:r w:rsidRPr="00FF17EC">
        <w:t xml:space="preserve">plain </w:t>
      </w:r>
      <w:r w:rsidR="006819AC" w:rsidRPr="00FF17EC">
        <w:t>to the</w:t>
      </w:r>
      <w:r w:rsidR="003A0AED" w:rsidRPr="00FF17EC">
        <w:t xml:space="preserve"> Western end of the Romanian Plain.</w:t>
      </w:r>
    </w:p>
    <w:p w:rsidR="00702288" w:rsidRPr="00FF17EC" w:rsidRDefault="00564676" w:rsidP="00766BB2">
      <w:r w:rsidRPr="00FF17EC">
        <w:t xml:space="preserve">The relations between the </w:t>
      </w:r>
      <w:r w:rsidR="0041390F" w:rsidRPr="00FF17EC">
        <w:t>e</w:t>
      </w:r>
      <w:r w:rsidRPr="00FF17EC">
        <w:t xml:space="preserve">ligible area and the Danube </w:t>
      </w:r>
      <w:r w:rsidR="00702288" w:rsidRPr="00FF17EC">
        <w:t xml:space="preserve">Region </w:t>
      </w:r>
      <w:r w:rsidRPr="00FF17EC">
        <w:t>can be</w:t>
      </w:r>
      <w:r w:rsidR="00702288" w:rsidRPr="00FF17EC">
        <w:t xml:space="preserve"> </w:t>
      </w:r>
      <w:r w:rsidR="005555DF" w:rsidRPr="00FF17EC">
        <w:t>analysed</w:t>
      </w:r>
      <w:r w:rsidR="00702288" w:rsidRPr="00FF17EC">
        <w:t xml:space="preserve"> </w:t>
      </w:r>
      <w:r w:rsidR="005555DF" w:rsidRPr="00FF17EC">
        <w:t xml:space="preserve">in </w:t>
      </w:r>
      <w:r w:rsidR="00EC5498" w:rsidRPr="00FF17EC">
        <w:t xml:space="preserve">the following </w:t>
      </w:r>
      <w:r w:rsidR="005555DF" w:rsidRPr="00FF17EC">
        <w:t>main</w:t>
      </w:r>
      <w:r w:rsidR="00702288" w:rsidRPr="00FF17EC">
        <w:t xml:space="preserve"> fields: mobility, energy, environment, risks, </w:t>
      </w:r>
      <w:r w:rsidR="005555DF" w:rsidRPr="00FF17EC">
        <w:t>and socioeconomic</w:t>
      </w:r>
      <w:r w:rsidR="00702288" w:rsidRPr="00FF17EC">
        <w:t xml:space="preserve"> development.</w:t>
      </w:r>
      <w:r w:rsidR="00687088" w:rsidRPr="00FF17EC">
        <w:t xml:space="preserve"> </w:t>
      </w:r>
    </w:p>
    <w:p w:rsidR="006433A2" w:rsidRPr="00FF17EC" w:rsidRDefault="00702288" w:rsidP="00766BB2">
      <w:r w:rsidRPr="00FF17EC">
        <w:t xml:space="preserve">In all these fields of interaction challenges and </w:t>
      </w:r>
      <w:r w:rsidR="005555DF" w:rsidRPr="00FF17EC">
        <w:t>opportunities</w:t>
      </w:r>
      <w:r w:rsidR="00EC5498" w:rsidRPr="00FF17EC">
        <w:t xml:space="preserve"> </w:t>
      </w:r>
      <w:r w:rsidR="00A43BA7" w:rsidRPr="00FF17EC">
        <w:t xml:space="preserve">can be identified, </w:t>
      </w:r>
      <w:r w:rsidRPr="00FF17EC">
        <w:t>according to the scale</w:t>
      </w:r>
      <w:r w:rsidR="006433A2" w:rsidRPr="00FF17EC">
        <w:t xml:space="preserve"> of the phenomena</w:t>
      </w:r>
      <w:r w:rsidRPr="00FF17EC">
        <w:t xml:space="preserve">, local, regional </w:t>
      </w:r>
      <w:r w:rsidR="006433A2" w:rsidRPr="00FF17EC">
        <w:t xml:space="preserve">or </w:t>
      </w:r>
      <w:r w:rsidRPr="00FF17EC">
        <w:t>international</w:t>
      </w:r>
      <w:r w:rsidR="006433A2" w:rsidRPr="00FF17EC">
        <w:t>,</w:t>
      </w:r>
      <w:r w:rsidRPr="00FF17EC">
        <w:t xml:space="preserve"> </w:t>
      </w:r>
      <w:r w:rsidR="006433A2" w:rsidRPr="00FF17EC">
        <w:t>and according to</w:t>
      </w:r>
      <w:r w:rsidRPr="00FF17EC">
        <w:t xml:space="preserve"> the</w:t>
      </w:r>
      <w:r w:rsidR="006433A2" w:rsidRPr="00FF17EC">
        <w:t xml:space="preserve"> main</w:t>
      </w:r>
      <w:r w:rsidRPr="00FF17EC">
        <w:t xml:space="preserve"> driving factors</w:t>
      </w:r>
      <w:r w:rsidR="006433A2" w:rsidRPr="00FF17EC">
        <w:t xml:space="preserve">, </w:t>
      </w:r>
      <w:r w:rsidR="00A43BA7" w:rsidRPr="00FF17EC">
        <w:t xml:space="preserve">like </w:t>
      </w:r>
      <w:r w:rsidR="006433A2" w:rsidRPr="00FF17EC">
        <w:t xml:space="preserve">the global environmental changes, the international tourism markets. </w:t>
      </w:r>
      <w:r w:rsidR="00A43BA7" w:rsidRPr="00FF17EC">
        <w:t>We can con</w:t>
      </w:r>
      <w:r w:rsidR="00634723" w:rsidRPr="00FF17EC">
        <w:t>sider fields of interdependency, or synergy, or competition.</w:t>
      </w:r>
      <w:r w:rsidR="00A43BA7" w:rsidRPr="00FF17EC">
        <w:t xml:space="preserve"> </w:t>
      </w:r>
    </w:p>
    <w:p w:rsidR="00C316A9" w:rsidRPr="00FF17EC" w:rsidRDefault="00A43BA7" w:rsidP="00766BB2">
      <w:r w:rsidRPr="00FF17EC">
        <w:t>In some areas a strong interdependency between the eligible area and the larger Danube region can be identified. T</w:t>
      </w:r>
      <w:r w:rsidR="00F573D6" w:rsidRPr="00FF17EC">
        <w:t xml:space="preserve">hese </w:t>
      </w:r>
      <w:r w:rsidR="003B3869" w:rsidRPr="00FF17EC">
        <w:t xml:space="preserve">areas </w:t>
      </w:r>
      <w:r w:rsidR="00C316A9" w:rsidRPr="00FF17EC">
        <w:t xml:space="preserve">are dominated by </w:t>
      </w:r>
      <w:r w:rsidR="00BD0669" w:rsidRPr="00FF17EC">
        <w:t>international and interregional factors</w:t>
      </w:r>
      <w:r w:rsidR="00C316A9" w:rsidRPr="00FF17EC">
        <w:t xml:space="preserve">, with </w:t>
      </w:r>
      <w:r w:rsidR="00C316A9" w:rsidRPr="00FF17EC">
        <w:lastRenderedPageBreak/>
        <w:t>imp</w:t>
      </w:r>
      <w:r w:rsidR="00F573D6" w:rsidRPr="00FF17EC">
        <w:t xml:space="preserve">acts that largely overcome the </w:t>
      </w:r>
      <w:r w:rsidR="00C316A9" w:rsidRPr="00FF17EC">
        <w:t>regional dimension.</w:t>
      </w:r>
      <w:r w:rsidR="00BD0669" w:rsidRPr="00FF17EC">
        <w:t xml:space="preserve"> Some examples:</w:t>
      </w:r>
      <w:r w:rsidR="00C316A9" w:rsidRPr="00FF17EC">
        <w:t xml:space="preserve"> </w:t>
      </w:r>
      <w:r w:rsidR="004645E7" w:rsidRPr="00FF17EC">
        <w:t>reduction and prevention of p</w:t>
      </w:r>
      <w:r w:rsidR="00564676" w:rsidRPr="00FF17EC">
        <w:t>ollution</w:t>
      </w:r>
      <w:r w:rsidR="0041390F" w:rsidRPr="00FF17EC">
        <w:t xml:space="preserve"> </w:t>
      </w:r>
      <w:r w:rsidR="00C316A9" w:rsidRPr="00FF17EC">
        <w:t xml:space="preserve">of </w:t>
      </w:r>
      <w:r w:rsidR="00BD0669" w:rsidRPr="00FF17EC">
        <w:t>land, water and</w:t>
      </w:r>
      <w:r w:rsidR="00C316A9" w:rsidRPr="00FF17EC">
        <w:t xml:space="preserve"> </w:t>
      </w:r>
      <w:r w:rsidR="00BD0669" w:rsidRPr="00FF17EC">
        <w:t xml:space="preserve">air by industrial and </w:t>
      </w:r>
      <w:r w:rsidR="00C316A9" w:rsidRPr="00FF17EC">
        <w:t>urban sources</w:t>
      </w:r>
      <w:r w:rsidR="00F573D6" w:rsidRPr="00FF17EC">
        <w:t>,</w:t>
      </w:r>
      <w:r w:rsidR="00C316A9" w:rsidRPr="00FF17EC">
        <w:t xml:space="preserve"> </w:t>
      </w:r>
      <w:r w:rsidR="004645E7" w:rsidRPr="00FF17EC">
        <w:t>control and mitigation of en</w:t>
      </w:r>
      <w:r w:rsidR="00BD0669" w:rsidRPr="00FF17EC">
        <w:t xml:space="preserve">vironmental </w:t>
      </w:r>
      <w:r w:rsidR="00564676" w:rsidRPr="00FF17EC">
        <w:t>risks</w:t>
      </w:r>
      <w:r w:rsidR="00F573D6" w:rsidRPr="00FF17EC">
        <w:t>, d</w:t>
      </w:r>
      <w:r w:rsidR="004645E7" w:rsidRPr="00FF17EC">
        <w:t>evelopment of the i</w:t>
      </w:r>
      <w:r w:rsidR="00BD0669" w:rsidRPr="00FF17EC">
        <w:t xml:space="preserve">ntegration of the </w:t>
      </w:r>
      <w:r w:rsidR="00C316A9" w:rsidRPr="00FF17EC">
        <w:t>European Transport Networks</w:t>
      </w:r>
      <w:r w:rsidR="00BD0669" w:rsidRPr="00FF17EC">
        <w:t xml:space="preserve">. In these areas the </w:t>
      </w:r>
      <w:r w:rsidRPr="00FF17EC">
        <w:t>action</w:t>
      </w:r>
      <w:r w:rsidR="00634723" w:rsidRPr="00FF17EC">
        <w:t xml:space="preserve"> </w:t>
      </w:r>
      <w:r w:rsidR="00BD0669" w:rsidRPr="00FF17EC">
        <w:t>of the CBC programme partners should be focused on the integration of</w:t>
      </w:r>
      <w:r w:rsidRPr="00FF17EC">
        <w:t xml:space="preserve"> the</w:t>
      </w:r>
      <w:r w:rsidR="00634723" w:rsidRPr="00FF17EC">
        <w:t xml:space="preserve"> </w:t>
      </w:r>
      <w:r w:rsidR="00BD0669" w:rsidRPr="00FF17EC">
        <w:t xml:space="preserve">local </w:t>
      </w:r>
      <w:r w:rsidRPr="00FF17EC">
        <w:t>with the</w:t>
      </w:r>
      <w:r w:rsidR="00634723" w:rsidRPr="00FF17EC">
        <w:t xml:space="preserve"> </w:t>
      </w:r>
      <w:r w:rsidR="00BD0669" w:rsidRPr="00FF17EC">
        <w:t xml:space="preserve">global strategies at the level of </w:t>
      </w:r>
      <w:r w:rsidR="004645E7" w:rsidRPr="00FF17EC">
        <w:t>Danube region.</w:t>
      </w:r>
    </w:p>
    <w:p w:rsidR="00564676" w:rsidRPr="00FF17EC" w:rsidRDefault="00A43BA7" w:rsidP="00766BB2">
      <w:r w:rsidRPr="00FF17EC">
        <w:t>In other areas</w:t>
      </w:r>
      <w:r w:rsidR="00634723" w:rsidRPr="00FF17EC">
        <w:t xml:space="preserve"> </w:t>
      </w:r>
      <w:r w:rsidR="003F5289" w:rsidRPr="00FF17EC">
        <w:t>there</w:t>
      </w:r>
      <w:r w:rsidR="004645E7" w:rsidRPr="00FF17EC">
        <w:t xml:space="preserve"> is </w:t>
      </w:r>
      <w:r w:rsidR="00F573D6" w:rsidRPr="00FF17EC">
        <w:t>always strong</w:t>
      </w:r>
      <w:r w:rsidR="004645E7" w:rsidRPr="00FF17EC">
        <w:t xml:space="preserve"> interaction, but the main</w:t>
      </w:r>
      <w:r w:rsidRPr="00FF17EC">
        <w:t xml:space="preserve"> driving</w:t>
      </w:r>
      <w:r w:rsidR="00634723" w:rsidRPr="00FF17EC">
        <w:t xml:space="preserve"> </w:t>
      </w:r>
      <w:r w:rsidR="004645E7" w:rsidRPr="00FF17EC">
        <w:t xml:space="preserve">factors </w:t>
      </w:r>
      <w:r w:rsidR="00634723" w:rsidRPr="00FF17EC">
        <w:t xml:space="preserve">depend at list in part </w:t>
      </w:r>
      <w:r w:rsidRPr="00FF17EC">
        <w:t>on</w:t>
      </w:r>
      <w:r w:rsidR="00634723" w:rsidRPr="00FF17EC">
        <w:t xml:space="preserve"> </w:t>
      </w:r>
      <w:r w:rsidRPr="00FF17EC">
        <w:t>local factors</w:t>
      </w:r>
      <w:r w:rsidR="003B4485" w:rsidRPr="00FF17EC">
        <w:t xml:space="preserve">, </w:t>
      </w:r>
      <w:r w:rsidRPr="00FF17EC">
        <w:t>therefore the</w:t>
      </w:r>
      <w:r w:rsidR="00634723" w:rsidRPr="00FF17EC">
        <w:t xml:space="preserve"> </w:t>
      </w:r>
      <w:r w:rsidR="004645E7" w:rsidRPr="00FF17EC">
        <w:t xml:space="preserve">local </w:t>
      </w:r>
      <w:r w:rsidRPr="00FF17EC">
        <w:t>stakeholders</w:t>
      </w:r>
      <w:r w:rsidR="00634723" w:rsidRPr="00FF17EC">
        <w:t xml:space="preserve"> </w:t>
      </w:r>
      <w:r w:rsidR="004645E7" w:rsidRPr="00FF17EC">
        <w:t xml:space="preserve">can benefit of </w:t>
      </w:r>
      <w:r w:rsidR="003B4485" w:rsidRPr="00FF17EC">
        <w:t xml:space="preserve">a </w:t>
      </w:r>
      <w:r w:rsidR="00634723" w:rsidRPr="00FF17EC">
        <w:t>some</w:t>
      </w:r>
      <w:r w:rsidR="003B4485" w:rsidRPr="00FF17EC">
        <w:t xml:space="preserve"> autonomy, </w:t>
      </w:r>
      <w:r w:rsidR="004645E7" w:rsidRPr="00FF17EC">
        <w:t>planning interventions that do not en</w:t>
      </w:r>
      <w:r w:rsidR="003B4485" w:rsidRPr="00FF17EC">
        <w:t xml:space="preserve">tirely depend, but </w:t>
      </w:r>
      <w:r w:rsidR="004645E7" w:rsidRPr="00FF17EC">
        <w:t>can benefit, from</w:t>
      </w:r>
      <w:r w:rsidR="00DC36E2" w:rsidRPr="00FF17EC">
        <w:t xml:space="preserve"> cooperation at </w:t>
      </w:r>
      <w:r w:rsidRPr="00FF17EC">
        <w:t>the larger Danube</w:t>
      </w:r>
      <w:r w:rsidR="00634723" w:rsidRPr="00FF17EC">
        <w:t xml:space="preserve"> </w:t>
      </w:r>
      <w:r w:rsidR="003B4485" w:rsidRPr="00FF17EC">
        <w:t xml:space="preserve">regional level. </w:t>
      </w:r>
    </w:p>
    <w:p w:rsidR="004645E7" w:rsidRPr="00FF17EC" w:rsidRDefault="00486979" w:rsidP="00766BB2">
      <w:r w:rsidRPr="00FF17EC">
        <w:t xml:space="preserve">Among these </w:t>
      </w:r>
      <w:r w:rsidR="00A43BA7" w:rsidRPr="00FF17EC">
        <w:t>areas can be mentioned the</w:t>
      </w:r>
      <w:r w:rsidR="00634723" w:rsidRPr="00FF17EC">
        <w:t xml:space="preserve"> </w:t>
      </w:r>
      <w:r w:rsidR="003B4485" w:rsidRPr="00FF17EC">
        <w:t>p</w:t>
      </w:r>
      <w:r w:rsidR="004645E7" w:rsidRPr="00FF17EC">
        <w:t>reservation of e</w:t>
      </w:r>
      <w:r w:rsidR="00C316A9" w:rsidRPr="00FF17EC">
        <w:t>nvironmental resources, biodiversity, landscape</w:t>
      </w:r>
      <w:r w:rsidR="005555DF" w:rsidRPr="00FF17EC">
        <w:t>;</w:t>
      </w:r>
      <w:r w:rsidR="003B4485" w:rsidRPr="00FF17EC">
        <w:t xml:space="preserve"> development of renewable energy sources, increase </w:t>
      </w:r>
      <w:r w:rsidR="004645E7" w:rsidRPr="00FF17EC">
        <w:t xml:space="preserve">of accessibility </w:t>
      </w:r>
      <w:r w:rsidR="00DC36E2" w:rsidRPr="00FF17EC">
        <w:t>and connectivity, reduction of localized pollution sources, promotion of</w:t>
      </w:r>
      <w:r w:rsidR="00687088" w:rsidRPr="00FF17EC">
        <w:t xml:space="preserve"> </w:t>
      </w:r>
      <w:r w:rsidR="00DC36E2" w:rsidRPr="00FF17EC">
        <w:t>smart innovation initiatives</w:t>
      </w:r>
      <w:r w:rsidR="005555DF" w:rsidRPr="00FF17EC">
        <w:t>.</w:t>
      </w:r>
    </w:p>
    <w:p w:rsidR="006726C3" w:rsidRPr="00FF17EC" w:rsidRDefault="006726C3" w:rsidP="00766BB2">
      <w:r w:rsidRPr="00FF17EC">
        <w:t>Last, there are a</w:t>
      </w:r>
      <w:r w:rsidR="004645E7" w:rsidRPr="00FF17EC">
        <w:t xml:space="preserve">reas of </w:t>
      </w:r>
      <w:r w:rsidR="00A43BA7" w:rsidRPr="00FF17EC">
        <w:t xml:space="preserve">– </w:t>
      </w:r>
      <w:r w:rsidR="00DC36E2" w:rsidRPr="00FF17EC">
        <w:t>c</w:t>
      </w:r>
      <w:r w:rsidR="00A43BA7" w:rsidRPr="00FF17EC">
        <w:t>ompetitive interaction</w:t>
      </w:r>
      <w:r w:rsidR="004645E7" w:rsidRPr="00FF17EC">
        <w:t xml:space="preserve">, where the </w:t>
      </w:r>
      <w:r w:rsidR="00A43BA7" w:rsidRPr="00FF17EC">
        <w:t xml:space="preserve">single territories in the Danube regions are at least </w:t>
      </w:r>
      <w:r w:rsidR="004645E7" w:rsidRPr="00FF17EC">
        <w:t>in part “</w:t>
      </w:r>
      <w:r w:rsidR="00A43BA7" w:rsidRPr="00FF17EC">
        <w:t>in competition</w:t>
      </w:r>
      <w:r w:rsidR="004645E7" w:rsidRPr="00FF17EC">
        <w:t>”</w:t>
      </w:r>
      <w:r w:rsidR="00A43BA7" w:rsidRPr="00FF17EC">
        <w:t xml:space="preserve"> among them</w:t>
      </w:r>
      <w:r w:rsidR="004645E7" w:rsidRPr="00FF17EC">
        <w:t xml:space="preserve">, because the </w:t>
      </w:r>
      <w:r w:rsidR="00DC36E2" w:rsidRPr="00FF17EC">
        <w:t xml:space="preserve">local actors aim </w:t>
      </w:r>
      <w:r w:rsidR="00A43BA7" w:rsidRPr="00FF17EC">
        <w:t>to</w:t>
      </w:r>
      <w:r w:rsidR="00634723" w:rsidRPr="00FF17EC">
        <w:t xml:space="preserve"> </w:t>
      </w:r>
      <w:r w:rsidR="00DC36E2" w:rsidRPr="00FF17EC">
        <w:t>the same markets</w:t>
      </w:r>
      <w:r w:rsidR="003B4485" w:rsidRPr="00FF17EC">
        <w:t xml:space="preserve"> niches o</w:t>
      </w:r>
      <w:r w:rsidR="00530CE4" w:rsidRPr="00FF17EC">
        <w:t>r to the same global partners.</w:t>
      </w:r>
    </w:p>
    <w:p w:rsidR="006726C3" w:rsidRPr="00FF17EC" w:rsidRDefault="00A43BA7" w:rsidP="00766BB2">
      <w:r w:rsidRPr="00FF17EC">
        <w:t>Two</w:t>
      </w:r>
      <w:r w:rsidR="00634723" w:rsidRPr="00FF17EC">
        <w:t xml:space="preserve"> </w:t>
      </w:r>
      <w:r w:rsidR="00DC36E2" w:rsidRPr="00FF17EC">
        <w:t xml:space="preserve">examples </w:t>
      </w:r>
      <w:r w:rsidRPr="00FF17EC">
        <w:t xml:space="preserve">of this type of interaction </w:t>
      </w:r>
      <w:r w:rsidR="00DC36E2" w:rsidRPr="00FF17EC">
        <w:t>can be those of</w:t>
      </w:r>
      <w:r w:rsidR="005555DF" w:rsidRPr="00FF17EC">
        <w:t>:</w:t>
      </w:r>
      <w:r w:rsidR="003B4485" w:rsidRPr="00FF17EC">
        <w:t xml:space="preserve"> </w:t>
      </w:r>
      <w:r w:rsidRPr="00FF17EC">
        <w:t>the a</w:t>
      </w:r>
      <w:r w:rsidR="006726C3" w:rsidRPr="00FF17EC">
        <w:t xml:space="preserve">ttraction of </w:t>
      </w:r>
      <w:r w:rsidRPr="00FF17EC">
        <w:t>thematic</w:t>
      </w:r>
      <w:r w:rsidR="006726C3" w:rsidRPr="00FF17EC">
        <w:t xml:space="preserve"> tourism (cultural </w:t>
      </w:r>
      <w:r w:rsidR="003B4485" w:rsidRPr="00FF17EC">
        <w:t>tourism</w:t>
      </w:r>
      <w:r w:rsidR="006726C3" w:rsidRPr="00FF17EC">
        <w:t>, natural tourism)</w:t>
      </w:r>
      <w:r w:rsidRPr="00FF17EC">
        <w:t>, the</w:t>
      </w:r>
      <w:r w:rsidR="00634723" w:rsidRPr="00FF17EC">
        <w:t xml:space="preserve"> </w:t>
      </w:r>
      <w:r w:rsidR="006726C3" w:rsidRPr="00FF17EC">
        <w:t>attraction of</w:t>
      </w:r>
      <w:r w:rsidR="001E630F" w:rsidRPr="00FF17EC">
        <w:t xml:space="preserve"> foreign direct investments</w:t>
      </w:r>
      <w:r w:rsidR="006726C3" w:rsidRPr="00FF17EC">
        <w:t xml:space="preserve">. </w:t>
      </w:r>
    </w:p>
    <w:p w:rsidR="00DC36E2" w:rsidRPr="00FF17EC" w:rsidRDefault="006E7763" w:rsidP="00766BB2">
      <w:r w:rsidRPr="00FF17EC">
        <w:t>In the e</w:t>
      </w:r>
      <w:r w:rsidR="00DC36E2" w:rsidRPr="00FF17EC">
        <w:t xml:space="preserve">ligible area the main potentials of </w:t>
      </w:r>
      <w:r w:rsidR="003B4485" w:rsidRPr="00FF17EC">
        <w:t>action can</w:t>
      </w:r>
      <w:r w:rsidR="00DC36E2" w:rsidRPr="00FF17EC">
        <w:t xml:space="preserve"> be </w:t>
      </w:r>
      <w:r w:rsidR="001E630F" w:rsidRPr="00FF17EC">
        <w:t>identified</w:t>
      </w:r>
      <w:r w:rsidR="00DC36E2" w:rsidRPr="00FF17EC">
        <w:t xml:space="preserve"> in the fields of environment</w:t>
      </w:r>
      <w:r w:rsidR="001E630F" w:rsidRPr="00FF17EC">
        <w:t xml:space="preserve"> protection</w:t>
      </w:r>
      <w:r w:rsidR="00DC36E2" w:rsidRPr="00FF17EC">
        <w:t>,</w:t>
      </w:r>
      <w:r w:rsidR="001E630F" w:rsidRPr="00FF17EC">
        <w:t xml:space="preserve"> SMART</w:t>
      </w:r>
      <w:r w:rsidR="00DC36E2" w:rsidRPr="00FF17EC">
        <w:t xml:space="preserve"> </w:t>
      </w:r>
      <w:r w:rsidR="001E630F" w:rsidRPr="00FF17EC">
        <w:t>innovation, accessibility, renewable energy.</w:t>
      </w:r>
      <w:r w:rsidR="00687088" w:rsidRPr="00FF17EC">
        <w:t xml:space="preserve"> </w:t>
      </w:r>
      <w:r w:rsidR="001E630F" w:rsidRPr="00FF17EC">
        <w:t>Most of these areas can aim to a synergic interaction with the Danube Regions.</w:t>
      </w:r>
    </w:p>
    <w:p w:rsidR="007426A1" w:rsidRPr="00FF17EC" w:rsidRDefault="007426A1" w:rsidP="00766BB2">
      <w:r w:rsidRPr="00FF17EC">
        <w:t xml:space="preserve">In some other areas, </w:t>
      </w:r>
      <w:r w:rsidR="007D1DDB" w:rsidRPr="00FF17EC">
        <w:t>especially</w:t>
      </w:r>
      <w:r w:rsidRPr="00FF17EC">
        <w:t xml:space="preserve"> the promotion of tourism along the Danube </w:t>
      </w:r>
      <w:r w:rsidR="007D1DDB" w:rsidRPr="00FF17EC">
        <w:t>River</w:t>
      </w:r>
      <w:r w:rsidRPr="00FF17EC">
        <w:t>, the development of transport services, multimodal hubs the</w:t>
      </w:r>
      <w:r w:rsidR="00634723" w:rsidRPr="00FF17EC">
        <w:t xml:space="preserve"> </w:t>
      </w:r>
      <w:r w:rsidRPr="00FF17EC">
        <w:t>promotion of innovation and research clusters, a cooperative</w:t>
      </w:r>
      <w:r w:rsidR="00634723" w:rsidRPr="00FF17EC">
        <w:t xml:space="preserve"> </w:t>
      </w:r>
      <w:r w:rsidRPr="00FF17EC">
        <w:t>action should be established, in order to maximize synergy and avoid</w:t>
      </w:r>
      <w:r w:rsidR="00634723" w:rsidRPr="00FF17EC">
        <w:t xml:space="preserve"> </w:t>
      </w:r>
      <w:r w:rsidRPr="00FF17EC">
        <w:t>negative impact of competition.</w:t>
      </w:r>
    </w:p>
    <w:p w:rsidR="00A32786" w:rsidRPr="00FF17EC" w:rsidRDefault="00383C14" w:rsidP="00A62261">
      <w:pPr>
        <w:pStyle w:val="Heading1"/>
      </w:pPr>
      <w:bookmarkStart w:id="7" w:name="_Toc378857134"/>
      <w:bookmarkStart w:id="8" w:name="_Toc383415700"/>
      <w:r w:rsidRPr="00FF17EC">
        <w:lastRenderedPageBreak/>
        <w:t>Social and demographic structure</w:t>
      </w:r>
      <w:r w:rsidR="0054109C" w:rsidRPr="00FF17EC">
        <w:t xml:space="preserve"> and </w:t>
      </w:r>
      <w:r w:rsidR="00580984" w:rsidRPr="00FF17EC">
        <w:t>Dynamics</w:t>
      </w:r>
      <w:bookmarkEnd w:id="7"/>
      <w:bookmarkEnd w:id="8"/>
    </w:p>
    <w:tbl>
      <w:tblPr>
        <w:tblStyle w:val="TableGrid"/>
        <w:tblW w:w="0" w:type="auto"/>
        <w:tblLook w:val="04A0" w:firstRow="1" w:lastRow="0" w:firstColumn="1" w:lastColumn="0" w:noHBand="0" w:noVBand="1"/>
      </w:tblPr>
      <w:tblGrid>
        <w:gridCol w:w="9394"/>
      </w:tblGrid>
      <w:tr w:rsidR="00654A45" w:rsidRPr="00FF17EC" w:rsidTr="00FF4394">
        <w:trPr>
          <w:trHeight w:val="6728"/>
        </w:trPr>
        <w:tc>
          <w:tcPr>
            <w:tcW w:w="0" w:type="auto"/>
          </w:tcPr>
          <w:p w:rsidR="003B6561" w:rsidRPr="00FF17EC" w:rsidRDefault="00845718" w:rsidP="003B6561">
            <w:pPr>
              <w:pStyle w:val="ListParagraph"/>
              <w:numPr>
                <w:ilvl w:val="0"/>
                <w:numId w:val="25"/>
              </w:numPr>
              <w:rPr>
                <w:b/>
                <w:bCs/>
                <w:sz w:val="32"/>
                <w:szCs w:val="32"/>
              </w:rPr>
            </w:pPr>
            <w:r w:rsidRPr="00FF17EC">
              <w:t xml:space="preserve">Similar </w:t>
            </w:r>
            <w:r w:rsidR="00654A45" w:rsidRPr="00FF17EC">
              <w:t>number of inhabitants</w:t>
            </w:r>
            <w:r w:rsidR="00580984" w:rsidRPr="00FF17EC">
              <w:t xml:space="preserve"> on the two sides of the border</w:t>
            </w:r>
            <w:r w:rsidR="00EE2411" w:rsidRPr="00FF17EC">
              <w:t>;</w:t>
            </w:r>
          </w:p>
          <w:p w:rsidR="003B6561" w:rsidRPr="00FF17EC" w:rsidRDefault="001A45AB" w:rsidP="003B6561">
            <w:pPr>
              <w:pStyle w:val="ListParagraph"/>
              <w:numPr>
                <w:ilvl w:val="0"/>
                <w:numId w:val="25"/>
              </w:numPr>
              <w:rPr>
                <w:b/>
                <w:bCs/>
                <w:sz w:val="32"/>
                <w:szCs w:val="32"/>
              </w:rPr>
            </w:pPr>
            <w:r w:rsidRPr="00FF17EC">
              <w:t xml:space="preserve">Population unequally distributed, </w:t>
            </w:r>
            <w:r w:rsidR="00966A87" w:rsidRPr="00FF17EC">
              <w:t>with</w:t>
            </w:r>
            <w:r w:rsidR="00687088" w:rsidRPr="00FF17EC">
              <w:t xml:space="preserve"> </w:t>
            </w:r>
            <w:r w:rsidR="00966A87" w:rsidRPr="00FF17EC">
              <w:t>low density in rural areas and in the mountains, higher density in planes in the North and West Banat Planes;</w:t>
            </w:r>
          </w:p>
          <w:p w:rsidR="003B6561" w:rsidRPr="00FF17EC" w:rsidRDefault="00535D63" w:rsidP="003B6561">
            <w:pPr>
              <w:pStyle w:val="ListParagraph"/>
              <w:numPr>
                <w:ilvl w:val="0"/>
                <w:numId w:val="25"/>
              </w:numPr>
              <w:rPr>
                <w:b/>
                <w:bCs/>
                <w:sz w:val="32"/>
                <w:szCs w:val="32"/>
              </w:rPr>
            </w:pPr>
            <w:r w:rsidRPr="00FF17EC">
              <w:t>Just one urban pole, Timi</w:t>
            </w:r>
            <w:r w:rsidR="00EE2411" w:rsidRPr="00FF17EC">
              <w:t>ș</w:t>
            </w:r>
            <w:r w:rsidRPr="00FF17EC">
              <w:t>oara, insid</w:t>
            </w:r>
            <w:r w:rsidR="0026719D" w:rsidRPr="00FF17EC">
              <w:t>e the area</w:t>
            </w:r>
            <w:r w:rsidR="001C562A" w:rsidRPr="00FF17EC">
              <w:t>. T</w:t>
            </w:r>
            <w:r w:rsidRPr="00FF17EC">
              <w:t>wo urban poles</w:t>
            </w:r>
            <w:r w:rsidR="00687088" w:rsidRPr="00FF17EC">
              <w:t xml:space="preserve"> </w:t>
            </w:r>
            <w:r w:rsidR="001C562A" w:rsidRPr="00FF17EC">
              <w:t xml:space="preserve">in Serbia </w:t>
            </w:r>
            <w:r w:rsidR="0026719D" w:rsidRPr="00FF17EC">
              <w:t xml:space="preserve">very </w:t>
            </w:r>
            <w:r w:rsidR="00DF1892" w:rsidRPr="00FF17EC">
              <w:t xml:space="preserve">close </w:t>
            </w:r>
            <w:r w:rsidR="00E84072" w:rsidRPr="00FF17EC">
              <w:t>to the</w:t>
            </w:r>
            <w:r w:rsidRPr="00FF17EC">
              <w:t xml:space="preserve"> </w:t>
            </w:r>
            <w:r w:rsidR="001C562A" w:rsidRPr="00FF17EC">
              <w:t>edge</w:t>
            </w:r>
            <w:r w:rsidR="00687088" w:rsidRPr="00FF17EC">
              <w:t xml:space="preserve"> </w:t>
            </w:r>
            <w:r w:rsidRPr="00FF17EC">
              <w:t>of the</w:t>
            </w:r>
            <w:r w:rsidR="00077B35" w:rsidRPr="00FF17EC">
              <w:t xml:space="preserve"> eligible area (Novi Sad and </w:t>
            </w:r>
            <w:r w:rsidR="00A73A7D" w:rsidRPr="00FF17EC">
              <w:rPr>
                <w:color w:val="000000"/>
              </w:rPr>
              <w:t>and Belgrade</w:t>
            </w:r>
            <w:r w:rsidR="00077B35" w:rsidRPr="00FF17EC">
              <w:t xml:space="preserve">); </w:t>
            </w:r>
          </w:p>
          <w:p w:rsidR="003B6561" w:rsidRPr="00FF17EC" w:rsidRDefault="00535D63" w:rsidP="003B6561">
            <w:pPr>
              <w:pStyle w:val="ListParagraph"/>
              <w:numPr>
                <w:ilvl w:val="0"/>
                <w:numId w:val="25"/>
              </w:numPr>
              <w:rPr>
                <w:b/>
                <w:bCs/>
                <w:sz w:val="32"/>
                <w:szCs w:val="32"/>
              </w:rPr>
            </w:pPr>
            <w:r w:rsidRPr="00FF17EC">
              <w:t xml:space="preserve">Most of the regions </w:t>
            </w:r>
            <w:r w:rsidR="00DF1892" w:rsidRPr="00FF17EC">
              <w:t>predominantly rural</w:t>
            </w:r>
            <w:r w:rsidRPr="00FF17EC">
              <w:t>,</w:t>
            </w:r>
            <w:r w:rsidR="0026719D" w:rsidRPr="00FF17EC">
              <w:t xml:space="preserve"> in the </w:t>
            </w:r>
            <w:r w:rsidR="00BB133C" w:rsidRPr="00FF17EC">
              <w:t>S</w:t>
            </w:r>
            <w:r w:rsidR="00077B35" w:rsidRPr="00FF17EC">
              <w:t xml:space="preserve">outh East remote rural, especially considering </w:t>
            </w:r>
            <w:r w:rsidR="003B6561" w:rsidRPr="00FF17EC">
              <w:t>the limited</w:t>
            </w:r>
            <w:r w:rsidR="00077B35" w:rsidRPr="00FF17EC">
              <w:t xml:space="preserve"> access to </w:t>
            </w:r>
            <w:r w:rsidR="003B6561" w:rsidRPr="00FF17EC">
              <w:t>large urban</w:t>
            </w:r>
            <w:r w:rsidR="00077B35" w:rsidRPr="00FF17EC">
              <w:t xml:space="preserve"> poles.</w:t>
            </w:r>
          </w:p>
          <w:p w:rsidR="003B6561" w:rsidRPr="00FF17EC" w:rsidRDefault="003B6561" w:rsidP="003B6561">
            <w:pPr>
              <w:pStyle w:val="ListParagraph"/>
              <w:numPr>
                <w:ilvl w:val="0"/>
                <w:numId w:val="25"/>
              </w:numPr>
              <w:rPr>
                <w:b/>
                <w:bCs/>
                <w:sz w:val="32"/>
                <w:szCs w:val="32"/>
              </w:rPr>
            </w:pPr>
            <w:r w:rsidRPr="00FF17EC">
              <w:t>Numerous ethnic minorities</w:t>
            </w:r>
            <w:r w:rsidR="001A45AB" w:rsidRPr="00FF17EC">
              <w:t xml:space="preserve"> in the area,</w:t>
            </w:r>
            <w:r w:rsidR="00FF4394" w:rsidRPr="00FF17EC">
              <w:t xml:space="preserve"> large communities </w:t>
            </w:r>
            <w:r w:rsidRPr="00FF17EC">
              <w:t>of Hungarians</w:t>
            </w:r>
            <w:r w:rsidR="001A45AB" w:rsidRPr="00FF17EC">
              <w:t xml:space="preserve"> in the North,</w:t>
            </w:r>
            <w:r w:rsidR="00FF4394" w:rsidRPr="00FF17EC">
              <w:t xml:space="preserve"> Roma communities </w:t>
            </w:r>
            <w:r w:rsidRPr="00FF17EC">
              <w:t>present in</w:t>
            </w:r>
            <w:r w:rsidR="00FF4394" w:rsidRPr="00FF17EC">
              <w:t xml:space="preserve"> all areas.</w:t>
            </w:r>
            <w:r w:rsidR="001C562A" w:rsidRPr="00FF17EC">
              <w:t xml:space="preserve"> Romanian, communities </w:t>
            </w:r>
            <w:r w:rsidRPr="00FF17EC">
              <w:t>especially</w:t>
            </w:r>
            <w:r w:rsidR="001C562A" w:rsidRPr="00FF17EC">
              <w:t xml:space="preserve"> in the Centre </w:t>
            </w:r>
            <w:r w:rsidRPr="00FF17EC">
              <w:t>and South</w:t>
            </w:r>
            <w:r w:rsidR="001C562A" w:rsidRPr="00FF17EC">
              <w:t xml:space="preserve"> of eligible area in </w:t>
            </w:r>
            <w:r w:rsidR="006F6DBB" w:rsidRPr="00FF17EC">
              <w:rPr>
                <w:color w:val="000000"/>
                <w:spacing w:val="-3"/>
              </w:rPr>
              <w:t>Serbia</w:t>
            </w:r>
            <w:r w:rsidR="001C562A" w:rsidRPr="00FF17EC">
              <w:t xml:space="preserve">, and Serbian communities in </w:t>
            </w:r>
            <w:r w:rsidR="007A11B3" w:rsidRPr="00FF17EC">
              <w:t>Timiș</w:t>
            </w:r>
            <w:r w:rsidR="001C562A" w:rsidRPr="00FF17EC">
              <w:t xml:space="preserve"> and Caras Severin.</w:t>
            </w:r>
            <w:r w:rsidR="00FF4394" w:rsidRPr="00FF17EC">
              <w:t xml:space="preserve"> </w:t>
            </w:r>
          </w:p>
          <w:p w:rsidR="003B6561" w:rsidRPr="00FF17EC" w:rsidRDefault="00766BB2" w:rsidP="001A45AB">
            <w:pPr>
              <w:pStyle w:val="ListParagraph"/>
              <w:numPr>
                <w:ilvl w:val="0"/>
                <w:numId w:val="25"/>
              </w:numPr>
              <w:rPr>
                <w:b/>
                <w:bCs/>
                <w:sz w:val="32"/>
                <w:szCs w:val="32"/>
              </w:rPr>
            </w:pPr>
            <w:r w:rsidRPr="00FF17EC">
              <w:t xml:space="preserve">Decline of population main </w:t>
            </w:r>
            <w:r w:rsidR="00077B35" w:rsidRPr="00FF17EC">
              <w:t>structural process in the whole eligible area, all Serbian territories and most of Romanian loosing population, often more than 10% in a decade;</w:t>
            </w:r>
          </w:p>
          <w:p w:rsidR="003B6561" w:rsidRPr="00FF17EC" w:rsidRDefault="00966A87" w:rsidP="001A45AB">
            <w:pPr>
              <w:pStyle w:val="ListParagraph"/>
              <w:numPr>
                <w:ilvl w:val="0"/>
                <w:numId w:val="25"/>
              </w:numPr>
              <w:rPr>
                <w:b/>
                <w:bCs/>
                <w:sz w:val="32"/>
                <w:szCs w:val="32"/>
              </w:rPr>
            </w:pPr>
            <w:r w:rsidRPr="00FF17EC">
              <w:t>Natural demographic trend is negative in most areas, limited positive trends in Timiș county;</w:t>
            </w:r>
          </w:p>
          <w:p w:rsidR="003B6561" w:rsidRPr="00FF17EC" w:rsidRDefault="00077B35" w:rsidP="001C562A">
            <w:pPr>
              <w:pStyle w:val="ListParagraph"/>
              <w:numPr>
                <w:ilvl w:val="0"/>
                <w:numId w:val="25"/>
              </w:numPr>
              <w:rPr>
                <w:b/>
                <w:bCs/>
                <w:sz w:val="32"/>
                <w:szCs w:val="32"/>
              </w:rPr>
            </w:pPr>
            <w:r w:rsidRPr="00FF17EC">
              <w:t>Most of the migration flows are directed outside of the eligible area, limited share of migration is directed to metropolitan areas in the eligible in Romania.</w:t>
            </w:r>
          </w:p>
          <w:p w:rsidR="00396246" w:rsidRPr="00FF17EC" w:rsidRDefault="00FF4394" w:rsidP="001C562A">
            <w:pPr>
              <w:pStyle w:val="ListParagraph"/>
              <w:numPr>
                <w:ilvl w:val="0"/>
                <w:numId w:val="25"/>
              </w:numPr>
              <w:rPr>
                <w:b/>
                <w:bCs/>
                <w:sz w:val="32"/>
                <w:szCs w:val="32"/>
              </w:rPr>
            </w:pPr>
            <w:r w:rsidRPr="00FF17EC">
              <w:t xml:space="preserve">Serious </w:t>
            </w:r>
            <w:r w:rsidR="00766BB2" w:rsidRPr="00FF17EC">
              <w:t>Aging of the population as</w:t>
            </w:r>
            <w:r w:rsidR="00687088" w:rsidRPr="00FF17EC">
              <w:t xml:space="preserve"> </w:t>
            </w:r>
            <w:r w:rsidR="00766BB2" w:rsidRPr="00FF17EC">
              <w:t xml:space="preserve">a consequence of emigration </w:t>
            </w:r>
            <w:r w:rsidR="001A45AB" w:rsidRPr="00FF17EC">
              <w:t>and natural decline</w:t>
            </w:r>
            <w:r w:rsidRPr="00FF17EC">
              <w:t>, specially in the rural areas, and in the South East.</w:t>
            </w:r>
          </w:p>
        </w:tc>
      </w:tr>
    </w:tbl>
    <w:p w:rsidR="00DF1892" w:rsidRPr="00FF17EC" w:rsidRDefault="00DF1892" w:rsidP="00766BB2"/>
    <w:p w:rsidR="00906CEE" w:rsidRPr="00FF17EC" w:rsidRDefault="00906CEE" w:rsidP="00766BB2">
      <w:r w:rsidRPr="00FF17EC">
        <w:t xml:space="preserve">The population in the </w:t>
      </w:r>
      <w:r w:rsidR="00EE2411" w:rsidRPr="00FF17EC">
        <w:t>e</w:t>
      </w:r>
      <w:r w:rsidRPr="00FF17EC">
        <w:t>ligible area is almost evenly split in the two countries, according to the demographic data in 201</w:t>
      </w:r>
      <w:r w:rsidR="00F918FC" w:rsidRPr="00FF17EC">
        <w:t>1</w:t>
      </w:r>
      <w:r w:rsidR="00090494" w:rsidRPr="00FF17EC">
        <w:t xml:space="preserve">, </w:t>
      </w:r>
      <w:r w:rsidR="009058F5" w:rsidRPr="00FF17EC">
        <w:t>1.244.509</w:t>
      </w:r>
      <w:r w:rsidRPr="00FF17EC">
        <w:t xml:space="preserve"> live in </w:t>
      </w:r>
      <w:r w:rsidR="00E84072" w:rsidRPr="00FF17EC">
        <w:t>Romania</w:t>
      </w:r>
      <w:r w:rsidRPr="00FF17EC">
        <w:t xml:space="preserve"> </w:t>
      </w:r>
      <w:r w:rsidR="00E84072" w:rsidRPr="00FF17EC">
        <w:t xml:space="preserve">and </w:t>
      </w:r>
      <w:r w:rsidR="009058F5" w:rsidRPr="00FF17EC">
        <w:t>1.137.179</w:t>
      </w:r>
      <w:r w:rsidR="00E84072" w:rsidRPr="00FF17EC">
        <w:t xml:space="preserve"> live</w:t>
      </w:r>
      <w:r w:rsidRPr="00FF17EC">
        <w:t xml:space="preserve"> in Republic of Serbia</w:t>
      </w:r>
      <w:r w:rsidR="00F918FC" w:rsidRPr="00FF17EC">
        <w:rPr>
          <w:rStyle w:val="FootnoteReference"/>
        </w:rPr>
        <w:footnoteReference w:id="5"/>
      </w:r>
      <w:r w:rsidRPr="00FF17EC">
        <w:t>. Thus, within the border area, 5</w:t>
      </w:r>
      <w:r w:rsidR="009058F5" w:rsidRPr="00FF17EC">
        <w:t>2,2</w:t>
      </w:r>
      <w:r w:rsidRPr="00FF17EC">
        <w:t>% of the population is living in Romania, and 4</w:t>
      </w:r>
      <w:r w:rsidR="009058F5" w:rsidRPr="00FF17EC">
        <w:t>7,7</w:t>
      </w:r>
      <w:r w:rsidRPr="00FF17EC">
        <w:t xml:space="preserve">% is living in Republic of Serbia. </w:t>
      </w:r>
    </w:p>
    <w:p w:rsidR="00ED1C7B" w:rsidRPr="00FF17EC" w:rsidRDefault="001F2532" w:rsidP="00766BB2">
      <w:r w:rsidRPr="00FF17EC">
        <w:lastRenderedPageBreak/>
        <w:t xml:space="preserve">The population </w:t>
      </w:r>
      <w:r w:rsidR="00906CEE" w:rsidRPr="00FF17EC">
        <w:t xml:space="preserve">has been </w:t>
      </w:r>
      <w:r w:rsidR="00E84072" w:rsidRPr="00FF17EC">
        <w:t xml:space="preserve">decreasing </w:t>
      </w:r>
      <w:r w:rsidR="00E84072" w:rsidRPr="00FF17EC">
        <w:rPr>
          <w:b/>
        </w:rPr>
        <w:t>from</w:t>
      </w:r>
      <w:r w:rsidR="00ED1C7B" w:rsidRPr="00FF17EC">
        <w:rPr>
          <w:b/>
        </w:rPr>
        <w:t xml:space="preserve"> </w:t>
      </w:r>
      <w:r w:rsidR="00D32A00" w:rsidRPr="00FF17EC">
        <w:rPr>
          <w:b/>
        </w:rPr>
        <w:t>2,</w:t>
      </w:r>
      <w:r w:rsidR="001521AC" w:rsidRPr="00FF17EC">
        <w:rPr>
          <w:b/>
        </w:rPr>
        <w:t>584</w:t>
      </w:r>
      <w:r w:rsidRPr="00FF17EC">
        <w:rPr>
          <w:b/>
        </w:rPr>
        <w:t xml:space="preserve"> million</w:t>
      </w:r>
      <w:r w:rsidR="00ED1C7B" w:rsidRPr="00FF17EC">
        <w:rPr>
          <w:b/>
        </w:rPr>
        <w:t xml:space="preserve"> in 200</w:t>
      </w:r>
      <w:r w:rsidR="001521AC" w:rsidRPr="00FF17EC">
        <w:rPr>
          <w:b/>
        </w:rPr>
        <w:t>2</w:t>
      </w:r>
      <w:r w:rsidRPr="00FF17EC">
        <w:rPr>
          <w:b/>
        </w:rPr>
        <w:t>,</w:t>
      </w:r>
      <w:r w:rsidR="00ED1C7B" w:rsidRPr="00FF17EC">
        <w:rPr>
          <w:b/>
        </w:rPr>
        <w:t xml:space="preserve"> </w:t>
      </w:r>
      <w:r w:rsidR="00575242" w:rsidRPr="00FF17EC">
        <w:t xml:space="preserve">with a </w:t>
      </w:r>
      <w:r w:rsidR="00E84072" w:rsidRPr="00FF17EC">
        <w:t>steep decline</w:t>
      </w:r>
      <w:r w:rsidR="00906CEE" w:rsidRPr="00FF17EC">
        <w:t xml:space="preserve"> in the last years </w:t>
      </w:r>
      <w:r w:rsidR="00ED1C7B" w:rsidRPr="00FF17EC">
        <w:t>due to</w:t>
      </w:r>
      <w:r w:rsidR="00575242" w:rsidRPr="00FF17EC">
        <w:t xml:space="preserve"> </w:t>
      </w:r>
      <w:r w:rsidR="00E84072" w:rsidRPr="00FF17EC">
        <w:t>both negative migratory</w:t>
      </w:r>
      <w:r w:rsidR="00D32A00" w:rsidRPr="00FF17EC">
        <w:t xml:space="preserve"> </w:t>
      </w:r>
      <w:r w:rsidR="008B3161" w:rsidRPr="00FF17EC">
        <w:t>and demographic</w:t>
      </w:r>
      <w:r w:rsidR="00ED1C7B" w:rsidRPr="00FF17EC">
        <w:t xml:space="preserve"> balance. </w:t>
      </w:r>
    </w:p>
    <w:p w:rsidR="00396246" w:rsidRPr="00FF17EC" w:rsidRDefault="003436BC">
      <w:r w:rsidRPr="00FF17EC">
        <w:rPr>
          <w:noProof/>
          <w:lang w:eastAsia="en-GB"/>
        </w:rPr>
        <w:drawing>
          <wp:inline distT="0" distB="0" distL="0" distR="0">
            <wp:extent cx="5531963" cy="3914775"/>
            <wp:effectExtent l="0" t="0" r="0" b="0"/>
            <wp:docPr id="36" name="Picture 36" descr="D:\cbc\TA Poduniavski\harti\Density_with Podunav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bc\TA Poduniavski\harti\Density_with Podunavski.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31375" cy="3914359"/>
                    </a:xfrm>
                    <a:prstGeom prst="rect">
                      <a:avLst/>
                    </a:prstGeom>
                    <a:noFill/>
                    <a:ln>
                      <a:noFill/>
                    </a:ln>
                  </pic:spPr>
                </pic:pic>
              </a:graphicData>
            </a:graphic>
          </wp:inline>
        </w:drawing>
      </w:r>
    </w:p>
    <w:p w:rsidR="00396246" w:rsidRPr="00FF17EC" w:rsidRDefault="009C7C0B" w:rsidP="00F21D79">
      <w:pPr>
        <w:pStyle w:val="Caption"/>
        <w:keepNext w:val="0"/>
        <w:jc w:val="center"/>
        <w:rPr>
          <w:sz w:val="22"/>
        </w:rPr>
      </w:pPr>
      <w:r w:rsidRPr="00FF17EC">
        <w:rPr>
          <w:sz w:val="22"/>
        </w:rPr>
        <w:t xml:space="preserve">Map </w:t>
      </w:r>
      <w:r w:rsidR="00085686" w:rsidRPr="00FF17EC">
        <w:rPr>
          <w:sz w:val="22"/>
        </w:rPr>
        <w:fldChar w:fldCharType="begin"/>
      </w:r>
      <w:r w:rsidR="006C6BFE" w:rsidRPr="00FF17EC">
        <w:rPr>
          <w:sz w:val="22"/>
        </w:rPr>
        <w:instrText xml:space="preserve"> STYLEREF 1 \s </w:instrText>
      </w:r>
      <w:r w:rsidR="00085686" w:rsidRPr="00FF17EC">
        <w:rPr>
          <w:sz w:val="22"/>
        </w:rPr>
        <w:fldChar w:fldCharType="separate"/>
      </w:r>
      <w:r w:rsidR="009737E5">
        <w:rPr>
          <w:noProof/>
          <w:sz w:val="22"/>
        </w:rPr>
        <w:t>3</w:t>
      </w:r>
      <w:r w:rsidR="00085686" w:rsidRPr="00FF17EC">
        <w:rPr>
          <w:sz w:val="22"/>
        </w:rPr>
        <w:fldChar w:fldCharType="end"/>
      </w:r>
      <w:r w:rsidR="00CA6A29" w:rsidRPr="00FF17EC">
        <w:rPr>
          <w:sz w:val="22"/>
        </w:rPr>
        <w:noBreakHyphen/>
      </w:r>
      <w:r w:rsidR="00085686" w:rsidRPr="00FF17EC">
        <w:rPr>
          <w:sz w:val="22"/>
        </w:rPr>
        <w:fldChar w:fldCharType="begin"/>
      </w:r>
      <w:r w:rsidR="006C6BFE" w:rsidRPr="00FF17EC">
        <w:rPr>
          <w:sz w:val="22"/>
        </w:rPr>
        <w:instrText xml:space="preserve"> SEQ Map \* ARABIC \s 1 </w:instrText>
      </w:r>
      <w:r w:rsidR="00085686" w:rsidRPr="00FF17EC">
        <w:rPr>
          <w:sz w:val="22"/>
        </w:rPr>
        <w:fldChar w:fldCharType="separate"/>
      </w:r>
      <w:r w:rsidR="009737E5">
        <w:rPr>
          <w:noProof/>
          <w:sz w:val="22"/>
        </w:rPr>
        <w:t>1</w:t>
      </w:r>
      <w:r w:rsidR="00085686" w:rsidRPr="00FF17EC">
        <w:rPr>
          <w:sz w:val="22"/>
        </w:rPr>
        <w:fldChar w:fldCharType="end"/>
      </w:r>
      <w:r w:rsidR="00FF4394" w:rsidRPr="00FF17EC">
        <w:rPr>
          <w:sz w:val="22"/>
        </w:rPr>
        <w:t xml:space="preserve"> Population density</w:t>
      </w:r>
    </w:p>
    <w:p w:rsidR="00FF4394" w:rsidRPr="00FF17EC" w:rsidRDefault="00FF4394" w:rsidP="00FF4394">
      <w:r w:rsidRPr="00FF17EC">
        <w:t>The eligible area has a population density lower than in the neighbour regions. The average density of the population is below 70 per sqkm. Lower than the average density of 89.6 inh/sqkm in Romania, and 83 in Serbia.</w:t>
      </w:r>
    </w:p>
    <w:p w:rsidR="00F25D89" w:rsidRPr="00FF17EC" w:rsidRDefault="00141C11" w:rsidP="00766BB2">
      <w:r w:rsidRPr="00FF17EC">
        <w:t>In Serbia, just a few municipalities reach a density above 100</w:t>
      </w:r>
      <w:r w:rsidR="00D32A00" w:rsidRPr="00FF17EC">
        <w:t>/sqkm</w:t>
      </w:r>
      <w:r w:rsidRPr="00FF17EC">
        <w:t>, while in Romania there are 5</w:t>
      </w:r>
      <w:r w:rsidR="00D32A00" w:rsidRPr="00FF17EC">
        <w:t xml:space="preserve"> </w:t>
      </w:r>
      <w:r w:rsidR="00F25D89" w:rsidRPr="00FF17EC">
        <w:t>municipalities above</w:t>
      </w:r>
      <w:r w:rsidRPr="00FF17EC">
        <w:t xml:space="preserve"> 200 /sqkm, including </w:t>
      </w:r>
      <w:r w:rsidR="007A11B3" w:rsidRPr="00FF17EC">
        <w:t>Timiș</w:t>
      </w:r>
      <w:r w:rsidRPr="00FF17EC">
        <w:t>oara and Resita (Map 3.1).</w:t>
      </w:r>
      <w:r w:rsidR="00687088" w:rsidRPr="00FF17EC">
        <w:t xml:space="preserve"> </w:t>
      </w:r>
      <w:r w:rsidRPr="00FF17EC">
        <w:t xml:space="preserve">However, in order to make a proper comparison of </w:t>
      </w:r>
      <w:r w:rsidR="00F25D89" w:rsidRPr="00FF17EC">
        <w:t>the density</w:t>
      </w:r>
      <w:r w:rsidRPr="00FF17EC">
        <w:t xml:space="preserve"> of population</w:t>
      </w:r>
      <w:r w:rsidR="00906CEE" w:rsidRPr="00FF17EC">
        <w:t xml:space="preserve"> per municipality</w:t>
      </w:r>
      <w:r w:rsidRPr="00FF17EC">
        <w:t xml:space="preserve">, the </w:t>
      </w:r>
      <w:r w:rsidR="00F25D89" w:rsidRPr="00FF17EC">
        <w:t>different extension of</w:t>
      </w:r>
      <w:r w:rsidRPr="00FF17EC">
        <w:t xml:space="preserve"> the administrative units in the two countries should be con</w:t>
      </w:r>
      <w:r w:rsidR="009F1556" w:rsidRPr="00FF17EC">
        <w:t xml:space="preserve">sidered, apart </w:t>
      </w:r>
      <w:r w:rsidR="00636380" w:rsidRPr="00FF17EC">
        <w:t xml:space="preserve">from </w:t>
      </w:r>
      <w:r w:rsidR="009F1556" w:rsidRPr="00FF17EC">
        <w:t xml:space="preserve">the stronger rural character of the Serbian territory. In fact, </w:t>
      </w:r>
      <w:r w:rsidR="00F25D89" w:rsidRPr="00FF17EC">
        <w:t>in Serbia</w:t>
      </w:r>
      <w:r w:rsidRPr="00FF17EC">
        <w:t xml:space="preserve"> the </w:t>
      </w:r>
      <w:r w:rsidR="009F1556" w:rsidRPr="00FF17EC">
        <w:t xml:space="preserve">average </w:t>
      </w:r>
      <w:r w:rsidR="00C035EF" w:rsidRPr="00FF17EC">
        <w:t xml:space="preserve">area </w:t>
      </w:r>
      <w:r w:rsidR="009F1556" w:rsidRPr="00FF17EC">
        <w:t xml:space="preserve">of the </w:t>
      </w:r>
      <w:r w:rsidRPr="00FF17EC">
        <w:t xml:space="preserve">administrative units </w:t>
      </w:r>
      <w:r w:rsidR="009C7C0B" w:rsidRPr="00FF17EC">
        <w:t>is much</w:t>
      </w:r>
      <w:r w:rsidR="009F1556" w:rsidRPr="00FF17EC">
        <w:t xml:space="preserve"> larger </w:t>
      </w:r>
      <w:r w:rsidR="006B792A" w:rsidRPr="00FF17EC">
        <w:t>th</w:t>
      </w:r>
      <w:r w:rsidR="00E808E5" w:rsidRPr="00FF17EC">
        <w:t>a</w:t>
      </w:r>
      <w:r w:rsidR="006B792A" w:rsidRPr="00FF17EC">
        <w:t>n in Romania</w:t>
      </w:r>
      <w:r w:rsidR="00396246" w:rsidRPr="00FF17EC">
        <w:t>, and eac</w:t>
      </w:r>
      <w:r w:rsidR="00C035EF" w:rsidRPr="00FF17EC">
        <w:t xml:space="preserve">h administrative unit includes </w:t>
      </w:r>
      <w:r w:rsidR="00396246" w:rsidRPr="00FF17EC">
        <w:t>various settlements that can have a different number of inhabitants and an heterogamous</w:t>
      </w:r>
      <w:r w:rsidR="00687088" w:rsidRPr="00FF17EC">
        <w:t xml:space="preserve"> </w:t>
      </w:r>
      <w:r w:rsidR="00396246" w:rsidRPr="00FF17EC">
        <w:t>urban structure.</w:t>
      </w:r>
    </w:p>
    <w:tbl>
      <w:tblPr>
        <w:tblW w:w="4418" w:type="pct"/>
        <w:tblCellMar>
          <w:left w:w="70" w:type="dxa"/>
          <w:right w:w="70" w:type="dxa"/>
        </w:tblCellMar>
        <w:tblLook w:val="04A0" w:firstRow="1" w:lastRow="0" w:firstColumn="1" w:lastColumn="0" w:noHBand="0" w:noVBand="1"/>
      </w:tblPr>
      <w:tblGrid>
        <w:gridCol w:w="3699"/>
        <w:gridCol w:w="1396"/>
        <w:gridCol w:w="244"/>
        <w:gridCol w:w="1466"/>
        <w:gridCol w:w="1504"/>
      </w:tblGrid>
      <w:tr w:rsidR="00535D63" w:rsidRPr="00FF17EC" w:rsidTr="003436BC">
        <w:trPr>
          <w:trHeight w:val="300"/>
        </w:trPr>
        <w:tc>
          <w:tcPr>
            <w:tcW w:w="2226" w:type="pct"/>
            <w:tcBorders>
              <w:top w:val="single" w:sz="4" w:space="0" w:color="auto"/>
              <w:left w:val="nil"/>
              <w:bottom w:val="single" w:sz="4" w:space="0" w:color="auto"/>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lastRenderedPageBreak/>
              <w:t>Romania</w:t>
            </w:r>
          </w:p>
        </w:tc>
        <w:tc>
          <w:tcPr>
            <w:tcW w:w="840" w:type="pct"/>
            <w:tcBorders>
              <w:top w:val="single" w:sz="4" w:space="0" w:color="auto"/>
              <w:left w:val="nil"/>
              <w:bottom w:val="single" w:sz="4" w:space="0" w:color="auto"/>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 xml:space="preserve">Population* </w:t>
            </w:r>
          </w:p>
        </w:tc>
        <w:tc>
          <w:tcPr>
            <w:tcW w:w="147" w:type="pct"/>
            <w:tcBorders>
              <w:top w:val="single" w:sz="4" w:space="0" w:color="auto"/>
              <w:left w:val="nil"/>
              <w:bottom w:val="single" w:sz="4" w:space="0" w:color="auto"/>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 </w:t>
            </w:r>
          </w:p>
        </w:tc>
        <w:tc>
          <w:tcPr>
            <w:tcW w:w="882" w:type="pct"/>
            <w:tcBorders>
              <w:top w:val="single" w:sz="4" w:space="0" w:color="auto"/>
              <w:left w:val="nil"/>
              <w:bottom w:val="single" w:sz="4" w:space="0" w:color="auto"/>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Serbia</w:t>
            </w:r>
          </w:p>
        </w:tc>
        <w:tc>
          <w:tcPr>
            <w:tcW w:w="904" w:type="pct"/>
            <w:tcBorders>
              <w:top w:val="single" w:sz="4" w:space="0" w:color="auto"/>
              <w:left w:val="nil"/>
              <w:bottom w:val="single" w:sz="4" w:space="0" w:color="auto"/>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Population*</w:t>
            </w:r>
          </w:p>
        </w:tc>
      </w:tr>
      <w:tr w:rsidR="00535D63" w:rsidRPr="00FF17EC" w:rsidTr="003436BC">
        <w:trPr>
          <w:trHeight w:val="300"/>
        </w:trPr>
        <w:tc>
          <w:tcPr>
            <w:tcW w:w="2226"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Boc</w:t>
            </w:r>
            <w:r w:rsidR="00E808E5" w:rsidRPr="00FF17EC">
              <w:rPr>
                <w:lang w:val="it-IT" w:eastAsia="it-IT"/>
              </w:rPr>
              <w:t>ș</w:t>
            </w:r>
            <w:r w:rsidRPr="00FF17EC">
              <w:rPr>
                <w:lang w:val="it-IT" w:eastAsia="it-IT"/>
              </w:rPr>
              <w:t>a</w:t>
            </w:r>
          </w:p>
        </w:tc>
        <w:tc>
          <w:tcPr>
            <w:tcW w:w="840"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15.842 </w:t>
            </w:r>
          </w:p>
        </w:tc>
        <w:tc>
          <w:tcPr>
            <w:tcW w:w="147" w:type="pct"/>
            <w:tcBorders>
              <w:top w:val="nil"/>
              <w:left w:val="nil"/>
              <w:bottom w:val="nil"/>
              <w:right w:val="nil"/>
            </w:tcBorders>
            <w:shd w:val="clear" w:color="auto" w:fill="auto"/>
            <w:noWrap/>
            <w:vAlign w:val="bottom"/>
            <w:hideMark/>
          </w:tcPr>
          <w:p w:rsidR="00396246" w:rsidRPr="00FF17EC" w:rsidRDefault="00396246">
            <w:pPr>
              <w:keepNext/>
              <w:spacing w:line="240" w:lineRule="auto"/>
              <w:rPr>
                <w:lang w:val="it-IT" w:eastAsia="it-IT"/>
              </w:rPr>
            </w:pPr>
          </w:p>
        </w:tc>
        <w:tc>
          <w:tcPr>
            <w:tcW w:w="882"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 xml:space="preserve"> Bor </w:t>
            </w:r>
          </w:p>
        </w:tc>
        <w:tc>
          <w:tcPr>
            <w:tcW w:w="904"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34.160 </w:t>
            </w:r>
          </w:p>
        </w:tc>
      </w:tr>
      <w:tr w:rsidR="00535D63" w:rsidRPr="00FF17EC" w:rsidTr="003436BC">
        <w:trPr>
          <w:trHeight w:val="300"/>
        </w:trPr>
        <w:tc>
          <w:tcPr>
            <w:tcW w:w="2226"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Caransebe</w:t>
            </w:r>
            <w:r w:rsidR="00E808E5" w:rsidRPr="00FF17EC">
              <w:rPr>
                <w:lang w:val="it-IT" w:eastAsia="it-IT"/>
              </w:rPr>
              <w:t>ș</w:t>
            </w:r>
          </w:p>
        </w:tc>
        <w:tc>
          <w:tcPr>
            <w:tcW w:w="840"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24.689 </w:t>
            </w:r>
          </w:p>
        </w:tc>
        <w:tc>
          <w:tcPr>
            <w:tcW w:w="147" w:type="pct"/>
            <w:tcBorders>
              <w:top w:val="nil"/>
              <w:left w:val="nil"/>
              <w:bottom w:val="nil"/>
              <w:right w:val="nil"/>
            </w:tcBorders>
            <w:shd w:val="clear" w:color="auto" w:fill="auto"/>
            <w:noWrap/>
            <w:vAlign w:val="bottom"/>
            <w:hideMark/>
          </w:tcPr>
          <w:p w:rsidR="00396246" w:rsidRPr="00FF17EC" w:rsidRDefault="00396246">
            <w:pPr>
              <w:keepNext/>
              <w:spacing w:line="240" w:lineRule="auto"/>
              <w:rPr>
                <w:lang w:val="it-IT" w:eastAsia="it-IT"/>
              </w:rPr>
            </w:pPr>
          </w:p>
        </w:tc>
        <w:tc>
          <w:tcPr>
            <w:tcW w:w="882"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 xml:space="preserve"> Negotin </w:t>
            </w:r>
          </w:p>
        </w:tc>
        <w:tc>
          <w:tcPr>
            <w:tcW w:w="904"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16.882 </w:t>
            </w:r>
          </w:p>
        </w:tc>
      </w:tr>
      <w:tr w:rsidR="00535D63" w:rsidRPr="00FF17EC" w:rsidTr="003436BC">
        <w:trPr>
          <w:trHeight w:val="300"/>
        </w:trPr>
        <w:tc>
          <w:tcPr>
            <w:tcW w:w="2226"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Re</w:t>
            </w:r>
            <w:r w:rsidR="00E808E5" w:rsidRPr="00FF17EC">
              <w:rPr>
                <w:lang w:val="it-IT" w:eastAsia="it-IT"/>
              </w:rPr>
              <w:t>ș</w:t>
            </w:r>
            <w:r w:rsidRPr="00FF17EC">
              <w:rPr>
                <w:lang w:val="it-IT" w:eastAsia="it-IT"/>
              </w:rPr>
              <w:t>i</w:t>
            </w:r>
            <w:r w:rsidR="00E808E5" w:rsidRPr="00FF17EC">
              <w:rPr>
                <w:lang w:val="it-IT" w:eastAsia="it-IT"/>
              </w:rPr>
              <w:t>ț</w:t>
            </w:r>
            <w:r w:rsidRPr="00FF17EC">
              <w:rPr>
                <w:lang w:val="it-IT" w:eastAsia="it-IT"/>
              </w:rPr>
              <w:t>a</w:t>
            </w:r>
          </w:p>
        </w:tc>
        <w:tc>
          <w:tcPr>
            <w:tcW w:w="840"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73.282 </w:t>
            </w:r>
          </w:p>
        </w:tc>
        <w:tc>
          <w:tcPr>
            <w:tcW w:w="147" w:type="pct"/>
            <w:tcBorders>
              <w:top w:val="nil"/>
              <w:left w:val="nil"/>
              <w:bottom w:val="nil"/>
              <w:right w:val="nil"/>
            </w:tcBorders>
            <w:shd w:val="clear" w:color="auto" w:fill="auto"/>
            <w:noWrap/>
            <w:vAlign w:val="bottom"/>
            <w:hideMark/>
          </w:tcPr>
          <w:p w:rsidR="00396246" w:rsidRPr="00FF17EC" w:rsidRDefault="00396246">
            <w:pPr>
              <w:keepNext/>
              <w:spacing w:line="240" w:lineRule="auto"/>
              <w:rPr>
                <w:lang w:val="it-IT" w:eastAsia="it-IT"/>
              </w:rPr>
            </w:pPr>
          </w:p>
        </w:tc>
        <w:tc>
          <w:tcPr>
            <w:tcW w:w="882"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 xml:space="preserve"> Požarevac </w:t>
            </w:r>
          </w:p>
        </w:tc>
        <w:tc>
          <w:tcPr>
            <w:tcW w:w="904"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44.183 </w:t>
            </w:r>
          </w:p>
        </w:tc>
      </w:tr>
      <w:tr w:rsidR="00535D63" w:rsidRPr="00FF17EC" w:rsidTr="003436BC">
        <w:trPr>
          <w:trHeight w:val="300"/>
        </w:trPr>
        <w:tc>
          <w:tcPr>
            <w:tcW w:w="2226"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Drobeta-Turnu S</w:t>
            </w:r>
            <w:r w:rsidR="00E808E5" w:rsidRPr="00FF17EC">
              <w:rPr>
                <w:lang w:val="it-IT" w:eastAsia="it-IT"/>
              </w:rPr>
              <w:t>everin</w:t>
            </w:r>
          </w:p>
        </w:tc>
        <w:tc>
          <w:tcPr>
            <w:tcW w:w="840"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92.617 </w:t>
            </w:r>
          </w:p>
        </w:tc>
        <w:tc>
          <w:tcPr>
            <w:tcW w:w="147" w:type="pct"/>
            <w:tcBorders>
              <w:top w:val="nil"/>
              <w:left w:val="nil"/>
              <w:bottom w:val="nil"/>
              <w:right w:val="nil"/>
            </w:tcBorders>
            <w:shd w:val="clear" w:color="auto" w:fill="auto"/>
            <w:noWrap/>
            <w:vAlign w:val="bottom"/>
            <w:hideMark/>
          </w:tcPr>
          <w:p w:rsidR="00396246" w:rsidRPr="00FF17EC" w:rsidRDefault="00396246">
            <w:pPr>
              <w:keepNext/>
              <w:spacing w:line="240" w:lineRule="auto"/>
              <w:rPr>
                <w:lang w:val="it-IT" w:eastAsia="it-IT"/>
              </w:rPr>
            </w:pPr>
          </w:p>
        </w:tc>
        <w:tc>
          <w:tcPr>
            <w:tcW w:w="882"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 xml:space="preserve"> Pančevo </w:t>
            </w:r>
          </w:p>
        </w:tc>
        <w:tc>
          <w:tcPr>
            <w:tcW w:w="904"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76.203 </w:t>
            </w:r>
          </w:p>
        </w:tc>
      </w:tr>
      <w:tr w:rsidR="00535D63" w:rsidRPr="00FF17EC" w:rsidTr="003436BC">
        <w:trPr>
          <w:trHeight w:val="300"/>
        </w:trPr>
        <w:tc>
          <w:tcPr>
            <w:tcW w:w="2226"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Lugoj</w:t>
            </w:r>
          </w:p>
        </w:tc>
        <w:tc>
          <w:tcPr>
            <w:tcW w:w="840"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40.361 </w:t>
            </w:r>
          </w:p>
        </w:tc>
        <w:tc>
          <w:tcPr>
            <w:tcW w:w="147" w:type="pct"/>
            <w:tcBorders>
              <w:top w:val="nil"/>
              <w:left w:val="nil"/>
              <w:bottom w:val="nil"/>
              <w:right w:val="nil"/>
            </w:tcBorders>
            <w:shd w:val="clear" w:color="auto" w:fill="auto"/>
            <w:noWrap/>
            <w:vAlign w:val="bottom"/>
            <w:hideMark/>
          </w:tcPr>
          <w:p w:rsidR="00396246" w:rsidRPr="00FF17EC" w:rsidRDefault="00396246">
            <w:pPr>
              <w:keepNext/>
              <w:spacing w:line="240" w:lineRule="auto"/>
              <w:rPr>
                <w:lang w:val="it-IT" w:eastAsia="it-IT"/>
              </w:rPr>
            </w:pPr>
          </w:p>
        </w:tc>
        <w:tc>
          <w:tcPr>
            <w:tcW w:w="882"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 xml:space="preserve"> Kikinda </w:t>
            </w:r>
          </w:p>
        </w:tc>
        <w:tc>
          <w:tcPr>
            <w:tcW w:w="904"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38.065 </w:t>
            </w:r>
          </w:p>
        </w:tc>
      </w:tr>
      <w:tr w:rsidR="00535D63" w:rsidRPr="00FF17EC" w:rsidTr="003436BC">
        <w:trPr>
          <w:trHeight w:val="300"/>
        </w:trPr>
        <w:tc>
          <w:tcPr>
            <w:tcW w:w="2226"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Timi</w:t>
            </w:r>
            <w:r w:rsidR="00E808E5" w:rsidRPr="00FF17EC">
              <w:rPr>
                <w:lang w:val="it-IT" w:eastAsia="it-IT"/>
              </w:rPr>
              <w:t>ș</w:t>
            </w:r>
            <w:r w:rsidRPr="00FF17EC">
              <w:rPr>
                <w:lang w:val="it-IT" w:eastAsia="it-IT"/>
              </w:rPr>
              <w:t>oara</w:t>
            </w:r>
          </w:p>
        </w:tc>
        <w:tc>
          <w:tcPr>
            <w:tcW w:w="840"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319.279 </w:t>
            </w:r>
          </w:p>
        </w:tc>
        <w:tc>
          <w:tcPr>
            <w:tcW w:w="147" w:type="pct"/>
            <w:tcBorders>
              <w:top w:val="nil"/>
              <w:left w:val="nil"/>
              <w:bottom w:val="nil"/>
              <w:right w:val="nil"/>
            </w:tcBorders>
            <w:shd w:val="clear" w:color="auto" w:fill="auto"/>
            <w:noWrap/>
            <w:vAlign w:val="bottom"/>
            <w:hideMark/>
          </w:tcPr>
          <w:p w:rsidR="00396246" w:rsidRPr="00FF17EC" w:rsidRDefault="00396246">
            <w:pPr>
              <w:keepNext/>
              <w:spacing w:line="240" w:lineRule="auto"/>
              <w:rPr>
                <w:lang w:val="it-IT" w:eastAsia="it-IT"/>
              </w:rPr>
            </w:pPr>
          </w:p>
        </w:tc>
        <w:tc>
          <w:tcPr>
            <w:tcW w:w="882" w:type="pct"/>
            <w:tcBorders>
              <w:top w:val="nil"/>
              <w:left w:val="nil"/>
              <w:bottom w:val="nil"/>
              <w:right w:val="nil"/>
            </w:tcBorders>
            <w:shd w:val="clear" w:color="auto" w:fill="auto"/>
            <w:noWrap/>
            <w:vAlign w:val="bottom"/>
            <w:hideMark/>
          </w:tcPr>
          <w:p w:rsidR="00396246" w:rsidRPr="00FF17EC" w:rsidRDefault="00535D63">
            <w:pPr>
              <w:keepNext/>
              <w:spacing w:line="240" w:lineRule="auto"/>
              <w:rPr>
                <w:lang w:val="it-IT" w:eastAsia="it-IT"/>
              </w:rPr>
            </w:pPr>
            <w:r w:rsidRPr="00FF17EC">
              <w:rPr>
                <w:lang w:val="it-IT" w:eastAsia="it-IT"/>
              </w:rPr>
              <w:t xml:space="preserve"> Senta </w:t>
            </w:r>
          </w:p>
        </w:tc>
        <w:tc>
          <w:tcPr>
            <w:tcW w:w="904" w:type="pct"/>
            <w:tcBorders>
              <w:top w:val="nil"/>
              <w:left w:val="nil"/>
              <w:bottom w:val="nil"/>
              <w:right w:val="nil"/>
            </w:tcBorders>
            <w:shd w:val="clear" w:color="auto" w:fill="auto"/>
            <w:noWrap/>
            <w:vAlign w:val="bottom"/>
            <w:hideMark/>
          </w:tcPr>
          <w:p w:rsidR="00396246" w:rsidRPr="00FF17EC" w:rsidRDefault="004B0E46">
            <w:pPr>
              <w:keepNext/>
              <w:spacing w:line="240" w:lineRule="auto"/>
              <w:rPr>
                <w:lang w:val="it-IT" w:eastAsia="it-IT"/>
              </w:rPr>
            </w:pPr>
            <w:r w:rsidRPr="00FF17EC">
              <w:rPr>
                <w:lang w:val="it-IT" w:eastAsia="it-IT"/>
              </w:rPr>
              <w:t xml:space="preserve"> </w:t>
            </w:r>
            <w:r w:rsidR="00535D63" w:rsidRPr="00FF17EC">
              <w:rPr>
                <w:lang w:val="it-IT" w:eastAsia="it-IT"/>
              </w:rPr>
              <w:t xml:space="preserve">18.704 </w:t>
            </w:r>
          </w:p>
        </w:tc>
      </w:tr>
      <w:tr w:rsidR="00535D63" w:rsidRPr="00FF17EC" w:rsidTr="003436BC">
        <w:trPr>
          <w:trHeight w:val="300"/>
        </w:trPr>
        <w:tc>
          <w:tcPr>
            <w:tcW w:w="2226" w:type="pct"/>
            <w:tcBorders>
              <w:top w:val="nil"/>
              <w:left w:val="nil"/>
              <w:bottom w:val="nil"/>
              <w:right w:val="nil"/>
            </w:tcBorders>
            <w:shd w:val="clear" w:color="auto" w:fill="auto"/>
            <w:noWrap/>
            <w:vAlign w:val="bottom"/>
            <w:hideMark/>
          </w:tcPr>
          <w:p w:rsidR="00396246" w:rsidRPr="00FF17EC" w:rsidRDefault="00396246">
            <w:pPr>
              <w:keepNext/>
              <w:spacing w:line="240" w:lineRule="auto"/>
              <w:rPr>
                <w:lang w:val="it-IT" w:eastAsia="it-IT"/>
              </w:rPr>
            </w:pPr>
          </w:p>
        </w:tc>
        <w:tc>
          <w:tcPr>
            <w:tcW w:w="840" w:type="pct"/>
            <w:tcBorders>
              <w:top w:val="nil"/>
              <w:left w:val="nil"/>
              <w:bottom w:val="nil"/>
              <w:right w:val="nil"/>
            </w:tcBorders>
            <w:shd w:val="clear" w:color="auto" w:fill="auto"/>
            <w:noWrap/>
            <w:vAlign w:val="bottom"/>
            <w:hideMark/>
          </w:tcPr>
          <w:p w:rsidR="00396246" w:rsidRPr="00FF17EC" w:rsidRDefault="00396246">
            <w:pPr>
              <w:keepNext/>
              <w:spacing w:line="240" w:lineRule="auto"/>
              <w:rPr>
                <w:lang w:val="it-IT" w:eastAsia="it-IT"/>
              </w:rPr>
            </w:pPr>
          </w:p>
        </w:tc>
        <w:tc>
          <w:tcPr>
            <w:tcW w:w="147" w:type="pct"/>
            <w:tcBorders>
              <w:top w:val="nil"/>
              <w:left w:val="nil"/>
              <w:bottom w:val="nil"/>
              <w:right w:val="nil"/>
            </w:tcBorders>
            <w:shd w:val="clear" w:color="auto" w:fill="auto"/>
            <w:noWrap/>
            <w:vAlign w:val="bottom"/>
            <w:hideMark/>
          </w:tcPr>
          <w:p w:rsidR="00396246" w:rsidRPr="00FF17EC" w:rsidRDefault="00396246">
            <w:pPr>
              <w:keepNext/>
              <w:spacing w:line="240" w:lineRule="auto"/>
              <w:rPr>
                <w:lang w:val="it-IT" w:eastAsia="it-IT"/>
              </w:rPr>
            </w:pPr>
          </w:p>
        </w:tc>
        <w:tc>
          <w:tcPr>
            <w:tcW w:w="882" w:type="pct"/>
            <w:tcBorders>
              <w:top w:val="nil"/>
              <w:left w:val="nil"/>
              <w:bottom w:val="nil"/>
              <w:right w:val="nil"/>
            </w:tcBorders>
            <w:shd w:val="clear" w:color="auto" w:fill="auto"/>
            <w:noWrap/>
            <w:vAlign w:val="bottom"/>
          </w:tcPr>
          <w:p w:rsidR="00396246" w:rsidRPr="00FF17EC" w:rsidRDefault="003374FC">
            <w:pPr>
              <w:keepNext/>
              <w:spacing w:line="240" w:lineRule="auto"/>
              <w:rPr>
                <w:lang w:val="it-IT" w:eastAsia="it-IT"/>
              </w:rPr>
            </w:pPr>
            <w:r w:rsidRPr="00FF17EC">
              <w:rPr>
                <w:rFonts w:cs="ArialMT"/>
                <w:lang w:val="en-US" w:eastAsia="it-IT"/>
              </w:rPr>
              <w:t>Smederevo</w:t>
            </w:r>
          </w:p>
        </w:tc>
        <w:tc>
          <w:tcPr>
            <w:tcW w:w="904" w:type="pct"/>
            <w:tcBorders>
              <w:top w:val="nil"/>
              <w:left w:val="nil"/>
              <w:bottom w:val="nil"/>
              <w:right w:val="nil"/>
            </w:tcBorders>
            <w:shd w:val="clear" w:color="auto" w:fill="auto"/>
            <w:noWrap/>
            <w:vAlign w:val="bottom"/>
          </w:tcPr>
          <w:p w:rsidR="00396246" w:rsidRPr="00FF17EC" w:rsidRDefault="00325505">
            <w:pPr>
              <w:keepNext/>
              <w:spacing w:line="240" w:lineRule="auto"/>
              <w:rPr>
                <w:lang w:val="it-IT" w:eastAsia="it-IT"/>
              </w:rPr>
            </w:pPr>
            <w:r w:rsidRPr="00FF17EC">
              <w:rPr>
                <w:lang w:val="it-IT" w:eastAsia="it-IT"/>
              </w:rPr>
              <w:t xml:space="preserve"> 64.175</w:t>
            </w:r>
          </w:p>
        </w:tc>
      </w:tr>
      <w:tr w:rsidR="003436BC" w:rsidRPr="00FF17EC" w:rsidTr="003436BC">
        <w:trPr>
          <w:trHeight w:val="300"/>
        </w:trPr>
        <w:tc>
          <w:tcPr>
            <w:tcW w:w="2226" w:type="pct"/>
            <w:tcBorders>
              <w:top w:val="nil"/>
              <w:left w:val="nil"/>
              <w:bottom w:val="nil"/>
              <w:right w:val="nil"/>
            </w:tcBorders>
            <w:shd w:val="clear" w:color="auto" w:fill="auto"/>
            <w:noWrap/>
            <w:vAlign w:val="bottom"/>
          </w:tcPr>
          <w:p w:rsidR="003436BC" w:rsidRPr="00FF17EC" w:rsidRDefault="003436BC">
            <w:pPr>
              <w:keepNext/>
              <w:spacing w:line="240" w:lineRule="auto"/>
              <w:rPr>
                <w:lang w:val="it-IT" w:eastAsia="it-IT"/>
              </w:rPr>
            </w:pPr>
          </w:p>
        </w:tc>
        <w:tc>
          <w:tcPr>
            <w:tcW w:w="840" w:type="pct"/>
            <w:tcBorders>
              <w:top w:val="nil"/>
              <w:left w:val="nil"/>
              <w:bottom w:val="nil"/>
              <w:right w:val="nil"/>
            </w:tcBorders>
            <w:shd w:val="clear" w:color="auto" w:fill="auto"/>
            <w:noWrap/>
            <w:vAlign w:val="bottom"/>
          </w:tcPr>
          <w:p w:rsidR="003436BC" w:rsidRPr="00FF17EC" w:rsidRDefault="003436BC">
            <w:pPr>
              <w:keepNext/>
              <w:spacing w:line="240" w:lineRule="auto"/>
              <w:rPr>
                <w:lang w:val="it-IT" w:eastAsia="it-IT"/>
              </w:rPr>
            </w:pPr>
          </w:p>
        </w:tc>
        <w:tc>
          <w:tcPr>
            <w:tcW w:w="147" w:type="pct"/>
            <w:tcBorders>
              <w:top w:val="nil"/>
              <w:left w:val="nil"/>
              <w:bottom w:val="nil"/>
              <w:right w:val="nil"/>
            </w:tcBorders>
            <w:shd w:val="clear" w:color="auto" w:fill="auto"/>
            <w:noWrap/>
            <w:vAlign w:val="bottom"/>
          </w:tcPr>
          <w:p w:rsidR="003436BC" w:rsidRPr="00FF17EC" w:rsidRDefault="003436BC">
            <w:pPr>
              <w:keepNext/>
              <w:spacing w:line="240" w:lineRule="auto"/>
              <w:rPr>
                <w:lang w:val="it-IT" w:eastAsia="it-IT"/>
              </w:rPr>
            </w:pPr>
          </w:p>
        </w:tc>
        <w:tc>
          <w:tcPr>
            <w:tcW w:w="882" w:type="pct"/>
            <w:tcBorders>
              <w:top w:val="nil"/>
              <w:left w:val="nil"/>
              <w:bottom w:val="nil"/>
              <w:right w:val="nil"/>
            </w:tcBorders>
            <w:shd w:val="clear" w:color="auto" w:fill="auto"/>
            <w:noWrap/>
            <w:vAlign w:val="bottom"/>
          </w:tcPr>
          <w:p w:rsidR="003436BC" w:rsidRPr="00FF17EC" w:rsidRDefault="003436BC" w:rsidP="00F84DAF">
            <w:pPr>
              <w:keepNext/>
              <w:spacing w:line="240" w:lineRule="auto"/>
              <w:rPr>
                <w:lang w:val="it-IT" w:eastAsia="it-IT"/>
              </w:rPr>
            </w:pPr>
            <w:r w:rsidRPr="00FF17EC">
              <w:rPr>
                <w:lang w:val="it-IT" w:eastAsia="it-IT"/>
              </w:rPr>
              <w:t xml:space="preserve"> Vršac </w:t>
            </w:r>
          </w:p>
        </w:tc>
        <w:tc>
          <w:tcPr>
            <w:tcW w:w="904" w:type="pct"/>
            <w:tcBorders>
              <w:top w:val="nil"/>
              <w:left w:val="nil"/>
              <w:bottom w:val="nil"/>
              <w:right w:val="nil"/>
            </w:tcBorders>
            <w:shd w:val="clear" w:color="auto" w:fill="auto"/>
            <w:noWrap/>
            <w:vAlign w:val="bottom"/>
          </w:tcPr>
          <w:p w:rsidR="003436BC" w:rsidRPr="00FF17EC" w:rsidRDefault="003436BC" w:rsidP="00F84DAF">
            <w:pPr>
              <w:keepNext/>
              <w:spacing w:line="240" w:lineRule="auto"/>
              <w:rPr>
                <w:lang w:val="it-IT" w:eastAsia="it-IT"/>
              </w:rPr>
            </w:pPr>
            <w:r w:rsidRPr="00FF17EC">
              <w:rPr>
                <w:lang w:val="it-IT" w:eastAsia="it-IT"/>
              </w:rPr>
              <w:t xml:space="preserve"> 36.040 </w:t>
            </w:r>
          </w:p>
        </w:tc>
      </w:tr>
      <w:tr w:rsidR="003436BC" w:rsidRPr="00FF17EC" w:rsidTr="003436BC">
        <w:trPr>
          <w:trHeight w:val="300"/>
        </w:trPr>
        <w:tc>
          <w:tcPr>
            <w:tcW w:w="2226" w:type="pct"/>
            <w:tcBorders>
              <w:top w:val="nil"/>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p>
        </w:tc>
        <w:tc>
          <w:tcPr>
            <w:tcW w:w="840" w:type="pct"/>
            <w:tcBorders>
              <w:top w:val="nil"/>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p>
        </w:tc>
        <w:tc>
          <w:tcPr>
            <w:tcW w:w="147" w:type="pct"/>
            <w:tcBorders>
              <w:top w:val="nil"/>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p>
        </w:tc>
        <w:tc>
          <w:tcPr>
            <w:tcW w:w="882" w:type="pct"/>
            <w:tcBorders>
              <w:top w:val="nil"/>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r w:rsidRPr="00FF17EC">
              <w:rPr>
                <w:lang w:val="it-IT" w:eastAsia="it-IT"/>
              </w:rPr>
              <w:t xml:space="preserve"> Zrenjanin </w:t>
            </w:r>
          </w:p>
        </w:tc>
        <w:tc>
          <w:tcPr>
            <w:tcW w:w="904" w:type="pct"/>
            <w:tcBorders>
              <w:top w:val="nil"/>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r w:rsidRPr="00FF17EC">
              <w:rPr>
                <w:lang w:val="it-IT" w:eastAsia="it-IT"/>
              </w:rPr>
              <w:t xml:space="preserve"> 76.511 </w:t>
            </w:r>
          </w:p>
        </w:tc>
      </w:tr>
      <w:tr w:rsidR="003436BC" w:rsidRPr="00FF17EC" w:rsidTr="003436BC">
        <w:trPr>
          <w:trHeight w:val="300"/>
        </w:trPr>
        <w:tc>
          <w:tcPr>
            <w:tcW w:w="2226" w:type="pct"/>
            <w:tcBorders>
              <w:top w:val="single" w:sz="4" w:space="0" w:color="auto"/>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r w:rsidRPr="00FF17EC">
              <w:rPr>
                <w:lang w:val="it-IT" w:eastAsia="it-IT"/>
              </w:rPr>
              <w:t>Total</w:t>
            </w:r>
          </w:p>
        </w:tc>
        <w:tc>
          <w:tcPr>
            <w:tcW w:w="840" w:type="pct"/>
            <w:tcBorders>
              <w:top w:val="single" w:sz="4" w:space="0" w:color="auto"/>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r w:rsidRPr="00FF17EC">
              <w:rPr>
                <w:lang w:val="it-IT" w:eastAsia="it-IT"/>
              </w:rPr>
              <w:t xml:space="preserve"> 566.070 </w:t>
            </w:r>
          </w:p>
        </w:tc>
        <w:tc>
          <w:tcPr>
            <w:tcW w:w="147" w:type="pct"/>
            <w:tcBorders>
              <w:top w:val="single" w:sz="4" w:space="0" w:color="auto"/>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p>
        </w:tc>
        <w:tc>
          <w:tcPr>
            <w:tcW w:w="882" w:type="pct"/>
            <w:tcBorders>
              <w:top w:val="single" w:sz="4" w:space="0" w:color="auto"/>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p>
        </w:tc>
        <w:tc>
          <w:tcPr>
            <w:tcW w:w="904" w:type="pct"/>
            <w:tcBorders>
              <w:top w:val="single" w:sz="4" w:space="0" w:color="auto"/>
              <w:left w:val="nil"/>
              <w:bottom w:val="single" w:sz="4" w:space="0" w:color="auto"/>
              <w:right w:val="nil"/>
            </w:tcBorders>
            <w:shd w:val="clear" w:color="auto" w:fill="auto"/>
            <w:noWrap/>
            <w:vAlign w:val="bottom"/>
            <w:hideMark/>
          </w:tcPr>
          <w:p w:rsidR="003436BC" w:rsidRPr="00FF17EC" w:rsidRDefault="003436BC">
            <w:pPr>
              <w:keepNext/>
              <w:spacing w:line="240" w:lineRule="auto"/>
              <w:rPr>
                <w:lang w:val="it-IT" w:eastAsia="it-IT"/>
              </w:rPr>
            </w:pPr>
            <w:r w:rsidRPr="00FF17EC">
              <w:rPr>
                <w:lang w:val="it-IT" w:eastAsia="it-IT"/>
              </w:rPr>
              <w:t xml:space="preserve"> 340.748 </w:t>
            </w:r>
          </w:p>
        </w:tc>
      </w:tr>
      <w:tr w:rsidR="003436BC" w:rsidRPr="00FF17EC" w:rsidTr="003436BC">
        <w:trPr>
          <w:trHeight w:val="600"/>
        </w:trPr>
        <w:tc>
          <w:tcPr>
            <w:tcW w:w="2226" w:type="pct"/>
            <w:tcBorders>
              <w:top w:val="single" w:sz="4" w:space="0" w:color="auto"/>
              <w:left w:val="nil"/>
              <w:bottom w:val="single" w:sz="4" w:space="0" w:color="auto"/>
              <w:right w:val="nil"/>
            </w:tcBorders>
            <w:shd w:val="clear" w:color="auto" w:fill="auto"/>
            <w:vAlign w:val="bottom"/>
            <w:hideMark/>
          </w:tcPr>
          <w:p w:rsidR="003436BC" w:rsidRPr="00FF17EC" w:rsidRDefault="003436BC">
            <w:pPr>
              <w:keepNext/>
              <w:spacing w:line="240" w:lineRule="auto"/>
              <w:rPr>
                <w:b/>
                <w:lang w:val="en-US" w:eastAsia="it-IT"/>
              </w:rPr>
            </w:pPr>
            <w:r w:rsidRPr="00FF17EC">
              <w:rPr>
                <w:b/>
                <w:lang w:val="en-US" w:eastAsia="it-IT"/>
              </w:rPr>
              <w:t xml:space="preserve">Percentage of population in larger urban centres on total </w:t>
            </w:r>
          </w:p>
        </w:tc>
        <w:tc>
          <w:tcPr>
            <w:tcW w:w="840" w:type="pct"/>
            <w:tcBorders>
              <w:top w:val="single" w:sz="4" w:space="0" w:color="auto"/>
              <w:left w:val="nil"/>
              <w:bottom w:val="single" w:sz="4" w:space="0" w:color="auto"/>
              <w:right w:val="nil"/>
            </w:tcBorders>
            <w:shd w:val="clear" w:color="auto" w:fill="auto"/>
            <w:noWrap/>
            <w:vAlign w:val="bottom"/>
            <w:hideMark/>
          </w:tcPr>
          <w:p w:rsidR="003436BC" w:rsidRPr="00FF17EC" w:rsidRDefault="003436BC">
            <w:pPr>
              <w:keepNext/>
              <w:spacing w:line="240" w:lineRule="auto"/>
              <w:jc w:val="right"/>
              <w:rPr>
                <w:b/>
                <w:lang w:val="it-IT" w:eastAsia="it-IT"/>
              </w:rPr>
            </w:pPr>
            <w:r w:rsidRPr="00FF17EC">
              <w:rPr>
                <w:b/>
                <w:lang w:val="it-IT" w:eastAsia="it-IT"/>
              </w:rPr>
              <w:t xml:space="preserve"> 48%</w:t>
            </w:r>
          </w:p>
        </w:tc>
        <w:tc>
          <w:tcPr>
            <w:tcW w:w="147" w:type="pct"/>
            <w:tcBorders>
              <w:top w:val="single" w:sz="4" w:space="0" w:color="auto"/>
              <w:left w:val="nil"/>
              <w:bottom w:val="single" w:sz="4" w:space="0" w:color="auto"/>
              <w:right w:val="nil"/>
            </w:tcBorders>
            <w:shd w:val="clear" w:color="auto" w:fill="auto"/>
            <w:noWrap/>
            <w:vAlign w:val="bottom"/>
            <w:hideMark/>
          </w:tcPr>
          <w:p w:rsidR="003436BC" w:rsidRPr="00FF17EC" w:rsidRDefault="003436BC">
            <w:pPr>
              <w:keepNext/>
              <w:spacing w:line="240" w:lineRule="auto"/>
              <w:rPr>
                <w:b/>
                <w:lang w:val="it-IT" w:eastAsia="it-IT"/>
              </w:rPr>
            </w:pPr>
          </w:p>
        </w:tc>
        <w:tc>
          <w:tcPr>
            <w:tcW w:w="882" w:type="pct"/>
            <w:tcBorders>
              <w:top w:val="single" w:sz="4" w:space="0" w:color="auto"/>
              <w:left w:val="nil"/>
              <w:bottom w:val="single" w:sz="4" w:space="0" w:color="auto"/>
              <w:right w:val="nil"/>
            </w:tcBorders>
            <w:shd w:val="clear" w:color="auto" w:fill="auto"/>
            <w:noWrap/>
            <w:vAlign w:val="bottom"/>
            <w:hideMark/>
          </w:tcPr>
          <w:p w:rsidR="003436BC" w:rsidRPr="00FF17EC" w:rsidRDefault="003436BC">
            <w:pPr>
              <w:keepNext/>
              <w:spacing w:line="240" w:lineRule="auto"/>
              <w:jc w:val="right"/>
              <w:rPr>
                <w:b/>
                <w:lang w:val="it-IT" w:eastAsia="it-IT"/>
              </w:rPr>
            </w:pPr>
            <w:r w:rsidRPr="00FF17EC">
              <w:rPr>
                <w:b/>
                <w:lang w:val="it-IT" w:eastAsia="it-IT"/>
              </w:rPr>
              <w:t> </w:t>
            </w:r>
          </w:p>
        </w:tc>
        <w:tc>
          <w:tcPr>
            <w:tcW w:w="904" w:type="pct"/>
            <w:tcBorders>
              <w:top w:val="single" w:sz="4" w:space="0" w:color="auto"/>
              <w:left w:val="nil"/>
              <w:bottom w:val="single" w:sz="4" w:space="0" w:color="auto"/>
              <w:right w:val="nil"/>
            </w:tcBorders>
            <w:shd w:val="clear" w:color="auto" w:fill="auto"/>
            <w:noWrap/>
            <w:vAlign w:val="bottom"/>
            <w:hideMark/>
          </w:tcPr>
          <w:p w:rsidR="003436BC" w:rsidRPr="00FF17EC" w:rsidRDefault="003436BC">
            <w:pPr>
              <w:keepNext/>
              <w:spacing w:line="240" w:lineRule="auto"/>
              <w:jc w:val="right"/>
              <w:rPr>
                <w:b/>
                <w:lang w:val="it-IT" w:eastAsia="it-IT"/>
              </w:rPr>
            </w:pPr>
            <w:r w:rsidRPr="00FF17EC">
              <w:rPr>
                <w:b/>
                <w:lang w:val="it-IT" w:eastAsia="it-IT"/>
              </w:rPr>
              <w:t>36%</w:t>
            </w:r>
          </w:p>
        </w:tc>
      </w:tr>
      <w:tr w:rsidR="003436BC" w:rsidRPr="00FF17EC" w:rsidTr="00502E1A">
        <w:trPr>
          <w:trHeight w:val="300"/>
        </w:trPr>
        <w:tc>
          <w:tcPr>
            <w:tcW w:w="5000" w:type="pct"/>
            <w:gridSpan w:val="5"/>
            <w:tcBorders>
              <w:top w:val="nil"/>
              <w:left w:val="nil"/>
              <w:bottom w:val="nil"/>
              <w:right w:val="nil"/>
            </w:tcBorders>
            <w:shd w:val="clear" w:color="auto" w:fill="auto"/>
            <w:noWrap/>
            <w:vAlign w:val="bottom"/>
            <w:hideMark/>
          </w:tcPr>
          <w:p w:rsidR="003436BC" w:rsidRPr="00FF17EC" w:rsidRDefault="003436BC">
            <w:pPr>
              <w:keepNext/>
              <w:spacing w:line="240" w:lineRule="auto"/>
              <w:rPr>
                <w:lang w:val="it-IT" w:eastAsia="it-IT"/>
              </w:rPr>
            </w:pPr>
            <w:r w:rsidRPr="00FF17EC">
              <w:rPr>
                <w:lang w:val="it-IT" w:eastAsia="it-IT"/>
              </w:rPr>
              <w:t>*NSI, Census 2011</w:t>
            </w:r>
          </w:p>
        </w:tc>
      </w:tr>
    </w:tbl>
    <w:p w:rsidR="00396246" w:rsidRPr="00FF17EC" w:rsidRDefault="007E1512" w:rsidP="00F21D79">
      <w:pPr>
        <w:pStyle w:val="Caption"/>
        <w:jc w:val="center"/>
        <w:rPr>
          <w:sz w:val="22"/>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3</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1</w:t>
      </w:r>
      <w:r w:rsidR="00085686" w:rsidRPr="00FF17EC">
        <w:rPr>
          <w:sz w:val="22"/>
        </w:rPr>
        <w:fldChar w:fldCharType="end"/>
      </w:r>
      <w:r w:rsidRPr="00FF17EC">
        <w:rPr>
          <w:rFonts w:cs="Times New Roman"/>
          <w:color w:val="000000"/>
          <w:sz w:val="22"/>
          <w:lang w:eastAsia="it-IT"/>
        </w:rPr>
        <w:t xml:space="preserve"> </w:t>
      </w:r>
      <w:r w:rsidR="00514CDE" w:rsidRPr="00FF17EC">
        <w:rPr>
          <w:rFonts w:cs="Times New Roman"/>
          <w:color w:val="000000"/>
          <w:sz w:val="22"/>
          <w:lang w:eastAsia="it-IT"/>
        </w:rPr>
        <w:t xml:space="preserve">Major </w:t>
      </w:r>
      <w:r w:rsidR="00502E1A" w:rsidRPr="00FF17EC">
        <w:rPr>
          <w:rFonts w:cs="Times New Roman"/>
          <w:color w:val="000000"/>
          <w:sz w:val="22"/>
          <w:lang w:eastAsia="it-IT"/>
        </w:rPr>
        <w:t>urban centres</w:t>
      </w:r>
      <w:r w:rsidR="00687088" w:rsidRPr="00FF17EC">
        <w:rPr>
          <w:rFonts w:cs="Times New Roman"/>
          <w:color w:val="000000"/>
          <w:sz w:val="22"/>
          <w:lang w:eastAsia="it-IT"/>
        </w:rPr>
        <w:t xml:space="preserve"> </w:t>
      </w:r>
      <w:r w:rsidR="00514CDE" w:rsidRPr="00FF17EC">
        <w:rPr>
          <w:rFonts w:cs="Times New Roman"/>
          <w:color w:val="000000"/>
          <w:sz w:val="22"/>
          <w:lang w:eastAsia="it-IT"/>
        </w:rPr>
        <w:t xml:space="preserve">(&gt;15000 Inh.) </w:t>
      </w:r>
      <w:r w:rsidRPr="00FF17EC">
        <w:rPr>
          <w:rFonts w:cs="Times New Roman"/>
          <w:color w:val="000000"/>
          <w:sz w:val="22"/>
          <w:lang w:eastAsia="it-IT"/>
        </w:rPr>
        <w:t>in the eligible area</w:t>
      </w:r>
    </w:p>
    <w:p w:rsidR="00071D83" w:rsidRPr="00FF17EC" w:rsidRDefault="00535D63" w:rsidP="001521AC">
      <w:pPr>
        <w:keepNext/>
        <w:rPr>
          <w:lang w:val="en-US" w:eastAsia="it-IT"/>
        </w:rPr>
      </w:pPr>
      <w:r w:rsidRPr="00FF17EC">
        <w:t xml:space="preserve">In the </w:t>
      </w:r>
      <w:r w:rsidR="00E808E5" w:rsidRPr="00FF17EC">
        <w:t>eligible area</w:t>
      </w:r>
      <w:r w:rsidRPr="00FF17EC">
        <w:t xml:space="preserve"> there are only 1</w:t>
      </w:r>
      <w:r w:rsidR="00E21577" w:rsidRPr="00FF17EC">
        <w:t>5</w:t>
      </w:r>
      <w:r w:rsidRPr="00FF17EC">
        <w:t xml:space="preserve"> centres with a population larger th</w:t>
      </w:r>
      <w:r w:rsidR="009E6FA0" w:rsidRPr="00FF17EC">
        <w:t>a</w:t>
      </w:r>
      <w:r w:rsidRPr="00FF17EC">
        <w:t>n 15</w:t>
      </w:r>
      <w:r w:rsidR="009F1556" w:rsidRPr="00FF17EC">
        <w:t>.</w:t>
      </w:r>
      <w:r w:rsidRPr="00FF17EC">
        <w:t>000 inhabitants, and just one centre, Timi</w:t>
      </w:r>
      <w:r w:rsidR="00E808E5" w:rsidRPr="00FF17EC">
        <w:t>ș</w:t>
      </w:r>
      <w:r w:rsidRPr="00FF17EC">
        <w:t xml:space="preserve">oara, larger then 200.000, the threshold considered in the </w:t>
      </w:r>
      <w:r w:rsidR="00F25D89" w:rsidRPr="00FF17EC">
        <w:t>OECD and EU metho</w:t>
      </w:r>
      <w:r w:rsidRPr="00FF17EC">
        <w:t>dology for the analysis of the urban – rural structure at regional level.</w:t>
      </w:r>
      <w:r w:rsidR="00687088" w:rsidRPr="00FF17EC">
        <w:t xml:space="preserve"> </w:t>
      </w:r>
      <w:r w:rsidRPr="00FF17EC">
        <w:t>In Serbia only Pan</w:t>
      </w:r>
      <w:r w:rsidR="005555DF" w:rsidRPr="00FF17EC">
        <w:t>č</w:t>
      </w:r>
      <w:r w:rsidRPr="00FF17EC">
        <w:t>evo</w:t>
      </w:r>
      <w:r w:rsidR="00E21577" w:rsidRPr="00FF17EC">
        <w:t xml:space="preserve">, </w:t>
      </w:r>
      <w:r w:rsidR="00E21577" w:rsidRPr="00FF17EC">
        <w:rPr>
          <w:rFonts w:cs="ArialMT"/>
          <w:lang w:val="en-US" w:eastAsia="it-IT"/>
        </w:rPr>
        <w:t>Smederevo</w:t>
      </w:r>
      <w:r w:rsidR="00E21577" w:rsidRPr="00FF17EC">
        <w:rPr>
          <w:lang w:val="en-US" w:eastAsia="it-IT"/>
        </w:rPr>
        <w:t xml:space="preserve"> </w:t>
      </w:r>
      <w:r w:rsidRPr="00FF17EC">
        <w:t xml:space="preserve">and Zrenjanin have </w:t>
      </w:r>
      <w:r w:rsidR="00115D59" w:rsidRPr="00FF17EC">
        <w:t>more th</w:t>
      </w:r>
      <w:r w:rsidR="00636380" w:rsidRPr="00FF17EC">
        <w:t>a</w:t>
      </w:r>
      <w:r w:rsidR="00115D59" w:rsidRPr="00FF17EC">
        <w:t>n 50.000 inhabitants.</w:t>
      </w:r>
    </w:p>
    <w:p w:rsidR="007D1DDB" w:rsidRPr="00FF17EC" w:rsidRDefault="007D1DDB" w:rsidP="00766BB2"/>
    <w:p w:rsidR="0011520C" w:rsidRPr="00FF17EC" w:rsidRDefault="0011520C" w:rsidP="00766BB2">
      <w:pPr>
        <w:pStyle w:val="Heading2"/>
      </w:pPr>
      <w:bookmarkStart w:id="9" w:name="_Toc378857135"/>
      <w:bookmarkStart w:id="10" w:name="_Toc383415701"/>
      <w:r w:rsidRPr="00FF17EC">
        <w:t>Rurality</w:t>
      </w:r>
      <w:bookmarkEnd w:id="9"/>
      <w:bookmarkEnd w:id="10"/>
      <w:r w:rsidRPr="00FF17EC">
        <w:t xml:space="preserve"> </w:t>
      </w:r>
    </w:p>
    <w:p w:rsidR="00A844A8" w:rsidRPr="00FF17EC" w:rsidRDefault="001C562A" w:rsidP="00766BB2">
      <w:r w:rsidRPr="00FF17EC">
        <w:t xml:space="preserve">The large </w:t>
      </w:r>
      <w:r w:rsidR="00A844A8" w:rsidRPr="00FF17EC">
        <w:t xml:space="preserve">majority of territories in the </w:t>
      </w:r>
      <w:r w:rsidR="00306D15" w:rsidRPr="00FF17EC">
        <w:t>eligible area</w:t>
      </w:r>
      <w:r w:rsidR="00A844A8" w:rsidRPr="00FF17EC">
        <w:t xml:space="preserve"> can be </w:t>
      </w:r>
      <w:r w:rsidR="00F25D89" w:rsidRPr="00FF17EC">
        <w:t>considered as</w:t>
      </w:r>
      <w:r w:rsidR="00A844A8" w:rsidRPr="00FF17EC">
        <w:t xml:space="preserve"> rural</w:t>
      </w:r>
      <w:r w:rsidR="00EC556B" w:rsidRPr="00FF17EC">
        <w:t xml:space="preserve">, due to the low density of the population, and the small size of most of the </w:t>
      </w:r>
      <w:r w:rsidRPr="00FF17EC">
        <w:t>settlements</w:t>
      </w:r>
      <w:r w:rsidR="00071D83" w:rsidRPr="00FF17EC">
        <w:t xml:space="preserve"> </w:t>
      </w:r>
      <w:r w:rsidR="00850B3E" w:rsidRPr="00FF17EC">
        <w:t>(</w:t>
      </w:r>
      <w:r w:rsidR="00071D83" w:rsidRPr="00FF17EC">
        <w:t>Table 3.1</w:t>
      </w:r>
      <w:r w:rsidR="00850B3E" w:rsidRPr="00FF17EC">
        <w:t>)</w:t>
      </w:r>
      <w:r w:rsidR="00A844A8" w:rsidRPr="00FF17EC">
        <w:t xml:space="preserve">. </w:t>
      </w:r>
      <w:r w:rsidR="007E25D4" w:rsidRPr="00FF17EC">
        <w:t>The rural areas are strongly differentiated in terms of relevance and productivity of the agricultural sector. In the plains in the Banat area</w:t>
      </w:r>
      <w:r w:rsidR="00C035EF" w:rsidRPr="00FF17EC">
        <w:t>, the</w:t>
      </w:r>
      <w:r w:rsidR="007E25D4" w:rsidRPr="00FF17EC">
        <w:t xml:space="preserve"> rural communities are based on a strong agricultural economy. In the mountains, </w:t>
      </w:r>
      <w:r w:rsidR="009A79CE" w:rsidRPr="00FF17EC">
        <w:t xml:space="preserve">rurality is associated to a low productivity of agricultural resources, leading to </w:t>
      </w:r>
      <w:r w:rsidR="00C035EF" w:rsidRPr="00FF17EC">
        <w:t>additional difficulties</w:t>
      </w:r>
      <w:r w:rsidR="009A79CE" w:rsidRPr="00FF17EC">
        <w:t xml:space="preserve"> for the economic development</w:t>
      </w:r>
      <w:r w:rsidR="00850B3E" w:rsidRPr="00FF17EC">
        <w:t xml:space="preserve"> and the quality of life of local population</w:t>
      </w:r>
      <w:r w:rsidR="009A79CE" w:rsidRPr="00FF17EC">
        <w:t xml:space="preserve">. </w:t>
      </w:r>
    </w:p>
    <w:p w:rsidR="009A79CE" w:rsidRPr="00FF17EC" w:rsidRDefault="009A79CE" w:rsidP="00766BB2">
      <w:r w:rsidRPr="00FF17EC">
        <w:t>Considering rurality at the level of districts and counties, additional criteria can be used to explore characteristics and differences.</w:t>
      </w:r>
    </w:p>
    <w:p w:rsidR="009F1556" w:rsidRPr="00FF17EC" w:rsidRDefault="00C035EF" w:rsidP="00766BB2">
      <w:r w:rsidRPr="00FF17EC">
        <w:lastRenderedPageBreak/>
        <w:t>According to</w:t>
      </w:r>
      <w:r w:rsidR="00685B4B" w:rsidRPr="00FF17EC">
        <w:t xml:space="preserve"> the criteria used by the Commission for the fifth </w:t>
      </w:r>
      <w:r w:rsidR="00A5712E" w:rsidRPr="00FF17EC">
        <w:t xml:space="preserve">cohesion </w:t>
      </w:r>
      <w:r w:rsidR="00685B4B" w:rsidRPr="00FF17EC">
        <w:t>report</w:t>
      </w:r>
      <w:r w:rsidR="00A5712E" w:rsidRPr="00FF17EC">
        <w:t>, described in EUROSTAT</w:t>
      </w:r>
      <w:r w:rsidR="00685B4B" w:rsidRPr="00FF17EC">
        <w:rPr>
          <w:rStyle w:val="FootnoteReference"/>
        </w:rPr>
        <w:footnoteReference w:id="6"/>
      </w:r>
      <w:r w:rsidR="00687088" w:rsidRPr="00FF17EC">
        <w:t xml:space="preserve"> </w:t>
      </w:r>
      <w:r w:rsidRPr="00FF17EC">
        <w:t>the counties</w:t>
      </w:r>
      <w:r w:rsidR="009A79CE" w:rsidRPr="00FF17EC">
        <w:t xml:space="preserve"> </w:t>
      </w:r>
      <w:r w:rsidR="00685B4B" w:rsidRPr="00FF17EC">
        <w:t xml:space="preserve">in the </w:t>
      </w:r>
      <w:r w:rsidR="00306D15" w:rsidRPr="00FF17EC">
        <w:t>eligible area</w:t>
      </w:r>
      <w:r w:rsidR="00F25D89" w:rsidRPr="00FF17EC">
        <w:t xml:space="preserve"> can</w:t>
      </w:r>
      <w:r w:rsidR="00685B4B" w:rsidRPr="00FF17EC">
        <w:t xml:space="preserve"> be classified as </w:t>
      </w:r>
      <w:r w:rsidR="00A5712E" w:rsidRPr="00FF17EC">
        <w:t xml:space="preserve">predominantly </w:t>
      </w:r>
      <w:r w:rsidR="00685B4B" w:rsidRPr="00FF17EC">
        <w:t>rural</w:t>
      </w:r>
      <w:r w:rsidR="006B792A" w:rsidRPr="00FF17EC">
        <w:t>, with</w:t>
      </w:r>
      <w:r w:rsidR="00A844A8" w:rsidRPr="00FF17EC">
        <w:t xml:space="preserve"> the exception of the Timi</w:t>
      </w:r>
      <w:r w:rsidR="00306D15" w:rsidRPr="00FF17EC">
        <w:t>ș</w:t>
      </w:r>
      <w:r w:rsidR="00A844A8" w:rsidRPr="00FF17EC">
        <w:t xml:space="preserve"> </w:t>
      </w:r>
      <w:r w:rsidR="006B792A" w:rsidRPr="00FF17EC">
        <w:t>County</w:t>
      </w:r>
      <w:r w:rsidR="00115D59" w:rsidRPr="00FF17EC">
        <w:t xml:space="preserve"> in Romania</w:t>
      </w:r>
      <w:r w:rsidR="00A844A8" w:rsidRPr="00FF17EC">
        <w:t>. Timi</w:t>
      </w:r>
      <w:r w:rsidR="00306D15" w:rsidRPr="00FF17EC">
        <w:t>ș</w:t>
      </w:r>
      <w:r w:rsidR="00A844A8" w:rsidRPr="00FF17EC">
        <w:t xml:space="preserve"> </w:t>
      </w:r>
      <w:r w:rsidR="00A5712E" w:rsidRPr="00FF17EC">
        <w:t>is classified as intermediate</w:t>
      </w:r>
      <w:r w:rsidR="00A844A8" w:rsidRPr="00FF17EC">
        <w:t xml:space="preserve"> rural, </w:t>
      </w:r>
      <w:r w:rsidR="002B09CA" w:rsidRPr="00FF17EC">
        <w:t xml:space="preserve">because </w:t>
      </w:r>
      <w:r w:rsidRPr="00FF17EC">
        <w:t xml:space="preserve">, in its case, </w:t>
      </w:r>
      <w:r w:rsidR="002B09CA" w:rsidRPr="00FF17EC">
        <w:t>the popu</w:t>
      </w:r>
      <w:r w:rsidR="006B792A" w:rsidRPr="00FF17EC">
        <w:t>lation living in rural areas is</w:t>
      </w:r>
      <w:r w:rsidR="00A844A8" w:rsidRPr="00FF17EC">
        <w:t xml:space="preserve"> less the 50% of the</w:t>
      </w:r>
      <w:r w:rsidR="002B09CA" w:rsidRPr="00FF17EC">
        <w:t xml:space="preserve"> total. </w:t>
      </w:r>
      <w:r w:rsidR="0013475C" w:rsidRPr="00FF17EC">
        <w:t>The EUROSTAT methodology was not yet applied to Serbian districts, but</w:t>
      </w:r>
      <w:r w:rsidR="00071D83" w:rsidRPr="00FF17EC">
        <w:t xml:space="preserve"> </w:t>
      </w:r>
      <w:r w:rsidR="003B1322" w:rsidRPr="00FF17EC">
        <w:t>some scientific</w:t>
      </w:r>
      <w:r w:rsidR="0013475C" w:rsidRPr="00FF17EC">
        <w:t xml:space="preserve"> studies elaborated in recent years</w:t>
      </w:r>
      <w:r w:rsidR="00071D83" w:rsidRPr="00FF17EC">
        <w:t>, and the statistical information available</w:t>
      </w:r>
      <w:r w:rsidRPr="00FF17EC">
        <w:t>, can</w:t>
      </w:r>
      <w:r w:rsidR="0013475C" w:rsidRPr="00FF17EC">
        <w:t xml:space="preserve"> allow a</w:t>
      </w:r>
      <w:r w:rsidR="00071D83" w:rsidRPr="00FF17EC">
        <w:t xml:space="preserve"> </w:t>
      </w:r>
      <w:r w:rsidRPr="00FF17EC">
        <w:t>qualitative estimation</w:t>
      </w:r>
      <w:r w:rsidR="0013475C" w:rsidRPr="00FF17EC">
        <w:rPr>
          <w:rStyle w:val="FootnoteReference"/>
        </w:rPr>
        <w:footnoteReference w:id="7"/>
      </w:r>
      <w:r w:rsidR="009A79CE" w:rsidRPr="00FF17EC">
        <w:t>, that leads to the description of all districts as rural</w:t>
      </w:r>
      <w:r w:rsidR="0013475C" w:rsidRPr="00FF17EC">
        <w:t>.</w:t>
      </w:r>
    </w:p>
    <w:p w:rsidR="009A1D60" w:rsidRPr="00FF17EC" w:rsidRDefault="009A1D60" w:rsidP="00766BB2">
      <w:r w:rsidRPr="00FF17EC">
        <w:t xml:space="preserve">However, this basic classification doesn’t highlight some relevant local differences, at the municipal scale, and some additional features especially relevant for the Cross Border Cooperation strategy. </w:t>
      </w:r>
    </w:p>
    <w:p w:rsidR="009A79CE" w:rsidRPr="00FF17EC" w:rsidRDefault="009A1D60">
      <w:r w:rsidRPr="00FF17EC">
        <w:t xml:space="preserve">According to the last </w:t>
      </w:r>
      <w:r w:rsidR="006B792A" w:rsidRPr="00FF17EC">
        <w:t xml:space="preserve">Eurostat </w:t>
      </w:r>
      <w:r w:rsidR="005555DF" w:rsidRPr="00FF17EC">
        <w:t>methodology</w:t>
      </w:r>
      <w:r w:rsidR="001C562A" w:rsidRPr="00FF17EC">
        <w:rPr>
          <w:rStyle w:val="FootnoteReference"/>
        </w:rPr>
        <w:footnoteReference w:id="8"/>
      </w:r>
      <w:r w:rsidR="00C035EF" w:rsidRPr="00FF17EC">
        <w:t xml:space="preserve">, </w:t>
      </w:r>
      <w:r w:rsidR="005555DF" w:rsidRPr="00FF17EC">
        <w:t>that</w:t>
      </w:r>
      <w:r w:rsidR="006B792A" w:rsidRPr="00FF17EC">
        <w:t xml:space="preserve"> </w:t>
      </w:r>
      <w:r w:rsidR="00A5712E" w:rsidRPr="00FF17EC">
        <w:t>modifies the basic methodology proposed by OECD</w:t>
      </w:r>
      <w:r w:rsidR="002B09CA" w:rsidRPr="00FF17EC">
        <w:t xml:space="preserve"> in the 90</w:t>
      </w:r>
      <w:r w:rsidR="00A74B29" w:rsidRPr="00FF17EC">
        <w:t>’</w:t>
      </w:r>
      <w:r w:rsidR="002B09CA" w:rsidRPr="00FF17EC">
        <w:t>s</w:t>
      </w:r>
      <w:r w:rsidR="00A5712E" w:rsidRPr="00FF17EC">
        <w:t xml:space="preserve">, </w:t>
      </w:r>
      <w:r w:rsidRPr="00FF17EC">
        <w:t xml:space="preserve">the classification of the rural areas is </w:t>
      </w:r>
      <w:r w:rsidR="009A79CE" w:rsidRPr="00FF17EC">
        <w:t xml:space="preserve">based on two steps. First of all it </w:t>
      </w:r>
      <w:r w:rsidR="00A5712E" w:rsidRPr="00FF17EC">
        <w:t xml:space="preserve">considers </w:t>
      </w:r>
      <w:r w:rsidR="00731683" w:rsidRPr="00FF17EC">
        <w:t>the population</w:t>
      </w:r>
      <w:r w:rsidR="00A5712E" w:rsidRPr="00FF17EC">
        <w:t xml:space="preserve"> </w:t>
      </w:r>
      <w:r w:rsidR="00731683" w:rsidRPr="00FF17EC">
        <w:t>densit</w:t>
      </w:r>
      <w:r w:rsidR="00A844A8" w:rsidRPr="00FF17EC">
        <w:t xml:space="preserve">y and concentration in urban settlements, and </w:t>
      </w:r>
      <w:r w:rsidR="002B09CA" w:rsidRPr="00FF17EC">
        <w:t xml:space="preserve">then </w:t>
      </w:r>
      <w:r w:rsidR="00A844A8" w:rsidRPr="00FF17EC">
        <w:t xml:space="preserve">the share of rural </w:t>
      </w:r>
      <w:r w:rsidR="009F1556" w:rsidRPr="00FF17EC">
        <w:t>units in the NUTS3</w:t>
      </w:r>
      <w:r w:rsidRPr="00FF17EC">
        <w:t xml:space="preserve"> territorial units</w:t>
      </w:r>
      <w:r w:rsidR="009F1556" w:rsidRPr="00FF17EC">
        <w:t xml:space="preserve">. </w:t>
      </w:r>
      <w:r w:rsidR="009A79CE" w:rsidRPr="00FF17EC">
        <w:t xml:space="preserve">In the second step </w:t>
      </w:r>
      <w:r w:rsidR="003B1322" w:rsidRPr="00FF17EC">
        <w:t>the criteria</w:t>
      </w:r>
      <w:r w:rsidRPr="00FF17EC">
        <w:t xml:space="preserve"> </w:t>
      </w:r>
      <w:r w:rsidR="00C035EF" w:rsidRPr="00FF17EC">
        <w:t>of accessibility</w:t>
      </w:r>
      <w:r w:rsidR="00A87FB8" w:rsidRPr="00FF17EC">
        <w:t xml:space="preserve"> </w:t>
      </w:r>
      <w:r w:rsidRPr="00FF17EC">
        <w:t xml:space="preserve">to </w:t>
      </w:r>
      <w:r w:rsidR="003B1322" w:rsidRPr="00FF17EC">
        <w:t xml:space="preserve">larger </w:t>
      </w:r>
      <w:r w:rsidR="00A87FB8" w:rsidRPr="00FF17EC">
        <w:t>urban centres and services to the rural population</w:t>
      </w:r>
      <w:r w:rsidR="009A79CE" w:rsidRPr="00FF17EC">
        <w:t xml:space="preserve"> is applied to the basic classification</w:t>
      </w:r>
      <w:r w:rsidR="00A87FB8" w:rsidRPr="00FF17EC">
        <w:t xml:space="preserve">. </w:t>
      </w:r>
      <w:r w:rsidR="00116709" w:rsidRPr="00FF17EC">
        <w:t>In fact, t</w:t>
      </w:r>
      <w:r w:rsidR="00A87FB8" w:rsidRPr="00FF17EC">
        <w:t>he accessibility</w:t>
      </w:r>
      <w:r w:rsidR="00116709" w:rsidRPr="00FF17EC">
        <w:t xml:space="preserve"> criteria</w:t>
      </w:r>
      <w:r w:rsidR="00A87FB8" w:rsidRPr="00FF17EC">
        <w:t>, or “remoteness”</w:t>
      </w:r>
      <w:r w:rsidR="00116709" w:rsidRPr="00FF17EC">
        <w:t>,</w:t>
      </w:r>
      <w:r w:rsidR="00A87FB8" w:rsidRPr="00FF17EC">
        <w:t xml:space="preserve"> was </w:t>
      </w:r>
      <w:r w:rsidR="006B792A" w:rsidRPr="00FF17EC">
        <w:t>adopted by</w:t>
      </w:r>
      <w:r w:rsidR="00A87FB8" w:rsidRPr="00FF17EC">
        <w:t xml:space="preserve"> OECD</w:t>
      </w:r>
      <w:r w:rsidR="00A87FB8" w:rsidRPr="00FF17EC">
        <w:rPr>
          <w:rStyle w:val="FootnoteReference"/>
        </w:rPr>
        <w:footnoteReference w:id="9"/>
      </w:r>
      <w:r w:rsidR="00116709" w:rsidRPr="00FF17EC">
        <w:t xml:space="preserve"> among the criteria for the classification of rural areas in 2009</w:t>
      </w:r>
      <w:r w:rsidR="00A87FB8" w:rsidRPr="00FF17EC">
        <w:t>, and has been tested on the EU regions.</w:t>
      </w:r>
      <w:r w:rsidR="00A23121" w:rsidRPr="00FF17EC">
        <w:t xml:space="preserve"> </w:t>
      </w:r>
    </w:p>
    <w:p w:rsidR="00B8230D" w:rsidRPr="00FF17EC" w:rsidRDefault="001C562A" w:rsidP="00766BB2">
      <w:r w:rsidRPr="00FF17EC">
        <w:t xml:space="preserve">Economic and </w:t>
      </w:r>
      <w:r w:rsidR="00C035EF" w:rsidRPr="00FF17EC">
        <w:t>sociological studies</w:t>
      </w:r>
      <w:r w:rsidR="00B8230D" w:rsidRPr="00FF17EC">
        <w:t xml:space="preserve"> carried out at European level have proved that this last classification is powerful in explain</w:t>
      </w:r>
      <w:r w:rsidR="001F2138" w:rsidRPr="00FF17EC">
        <w:t>ing</w:t>
      </w:r>
      <w:r w:rsidR="00B8230D" w:rsidRPr="00FF17EC">
        <w:t xml:space="preserve"> regional disparities and </w:t>
      </w:r>
      <w:r w:rsidR="009F1556" w:rsidRPr="00FF17EC">
        <w:t>development potential.</w:t>
      </w:r>
    </w:p>
    <w:p w:rsidR="00C05533" w:rsidRPr="00FF17EC" w:rsidRDefault="00A87FB8" w:rsidP="00766BB2">
      <w:r w:rsidRPr="00FF17EC">
        <w:t xml:space="preserve">According to this </w:t>
      </w:r>
      <w:r w:rsidR="00C05533" w:rsidRPr="00FF17EC">
        <w:t xml:space="preserve">extended </w:t>
      </w:r>
      <w:r w:rsidRPr="00FF17EC">
        <w:t xml:space="preserve">classification, the three Romanian </w:t>
      </w:r>
      <w:r w:rsidR="00806DE9" w:rsidRPr="00FF17EC">
        <w:t>count</w:t>
      </w:r>
      <w:r w:rsidR="007E25D4" w:rsidRPr="00FF17EC">
        <w:t>i</w:t>
      </w:r>
      <w:r w:rsidR="00806DE9" w:rsidRPr="00FF17EC">
        <w:t xml:space="preserve">es </w:t>
      </w:r>
      <w:r w:rsidRPr="00FF17EC">
        <w:t>belong to three different typologies</w:t>
      </w:r>
      <w:r w:rsidR="00116709" w:rsidRPr="00FF17EC">
        <w:t>.</w:t>
      </w:r>
      <w:r w:rsidRPr="00FF17EC">
        <w:t xml:space="preserve"> Timi</w:t>
      </w:r>
      <w:r w:rsidR="00456271" w:rsidRPr="00FF17EC">
        <w:rPr>
          <w:lang w:val="ro-RO"/>
        </w:rPr>
        <w:t>ș</w:t>
      </w:r>
      <w:r w:rsidRPr="00FF17EC">
        <w:t xml:space="preserve"> is c</w:t>
      </w:r>
      <w:r w:rsidR="006B792A" w:rsidRPr="00FF17EC">
        <w:t>onsidered an intermediate rural</w:t>
      </w:r>
      <w:r w:rsidR="00C05533" w:rsidRPr="00FF17EC">
        <w:t xml:space="preserve"> region </w:t>
      </w:r>
      <w:r w:rsidRPr="00FF17EC">
        <w:t xml:space="preserve">close to </w:t>
      </w:r>
      <w:r w:rsidR="006B792A" w:rsidRPr="00FF17EC">
        <w:t>a city (Timi</w:t>
      </w:r>
      <w:r w:rsidR="00456271" w:rsidRPr="00FF17EC">
        <w:t>ș</w:t>
      </w:r>
      <w:r w:rsidR="006B792A" w:rsidRPr="00FF17EC">
        <w:t>oara)</w:t>
      </w:r>
      <w:r w:rsidR="001F313A" w:rsidRPr="00FF17EC">
        <w:t>,</w:t>
      </w:r>
      <w:r w:rsidR="006B792A" w:rsidRPr="00FF17EC">
        <w:t xml:space="preserve"> </w:t>
      </w:r>
      <w:r w:rsidRPr="00FF17EC">
        <w:t>Cara</w:t>
      </w:r>
      <w:r w:rsidR="00456271" w:rsidRPr="00FF17EC">
        <w:t>ș</w:t>
      </w:r>
      <w:r w:rsidRPr="00FF17EC">
        <w:t xml:space="preserve"> Severin is classified as predominantly rural and remote (most of the population doesn’t have easy access to a</w:t>
      </w:r>
      <w:r w:rsidR="009A79CE" w:rsidRPr="00FF17EC">
        <w:t xml:space="preserve"> large</w:t>
      </w:r>
      <w:r w:rsidRPr="00FF17EC">
        <w:t xml:space="preserve"> city</w:t>
      </w:r>
      <w:r w:rsidR="006B792A" w:rsidRPr="00FF17EC">
        <w:t>) and Mehedin</w:t>
      </w:r>
      <w:r w:rsidR="00456271" w:rsidRPr="00FF17EC">
        <w:t>ț</w:t>
      </w:r>
      <w:r w:rsidR="006B792A" w:rsidRPr="00FF17EC">
        <w:t>i</w:t>
      </w:r>
      <w:r w:rsidR="00C05533" w:rsidRPr="00FF17EC">
        <w:t xml:space="preserve"> is considered predominantly rural</w:t>
      </w:r>
      <w:r w:rsidR="001F313A" w:rsidRPr="00FF17EC">
        <w:t>,</w:t>
      </w:r>
      <w:r w:rsidR="00C05533" w:rsidRPr="00FF17EC">
        <w:t xml:space="preserve"> close to a city.</w:t>
      </w:r>
    </w:p>
    <w:p w:rsidR="00F832D1" w:rsidRPr="00FF17EC" w:rsidRDefault="0013475C" w:rsidP="00766BB2">
      <w:r w:rsidRPr="00FF17EC">
        <w:lastRenderedPageBreak/>
        <w:t>In Serbia, a</w:t>
      </w:r>
      <w:r w:rsidR="006B792A" w:rsidRPr="00FF17EC">
        <w:t xml:space="preserve"> qualitative assessment</w:t>
      </w:r>
      <w:r w:rsidR="00A87FB8" w:rsidRPr="00FF17EC">
        <w:t xml:space="preserve"> </w:t>
      </w:r>
      <w:r w:rsidR="00E221E6" w:rsidRPr="00FF17EC">
        <w:t>could lead to hypothesize that the</w:t>
      </w:r>
      <w:r w:rsidR="00EC556B" w:rsidRPr="00FF17EC">
        <w:t xml:space="preserve"> three </w:t>
      </w:r>
      <w:r w:rsidR="00116709" w:rsidRPr="00FF17EC">
        <w:t>B</w:t>
      </w:r>
      <w:r w:rsidR="00EC556B" w:rsidRPr="00FF17EC">
        <w:t>anat</w:t>
      </w:r>
      <w:r w:rsidR="00116709" w:rsidRPr="00FF17EC">
        <w:t xml:space="preserve"> </w:t>
      </w:r>
      <w:r w:rsidR="0013787B" w:rsidRPr="00FF17EC">
        <w:t>districts</w:t>
      </w:r>
      <w:r w:rsidR="009F61A1" w:rsidRPr="00FF17EC">
        <w:t xml:space="preserve">, Poduniaski </w:t>
      </w:r>
      <w:r w:rsidR="00116709" w:rsidRPr="00FF17EC">
        <w:t>and Brani</w:t>
      </w:r>
      <w:r w:rsidR="008C5136" w:rsidRPr="00FF17EC">
        <w:t>č</w:t>
      </w:r>
      <w:r w:rsidR="00116709" w:rsidRPr="00FF17EC">
        <w:t>e</w:t>
      </w:r>
      <w:r w:rsidR="0013787B" w:rsidRPr="00FF17EC">
        <w:t>v</w:t>
      </w:r>
      <w:r w:rsidR="00116709" w:rsidRPr="00FF17EC">
        <w:t xml:space="preserve">ski </w:t>
      </w:r>
      <w:r w:rsidR="00B8230D" w:rsidRPr="00FF17EC">
        <w:t xml:space="preserve">can be considered </w:t>
      </w:r>
      <w:r w:rsidR="00535D63" w:rsidRPr="00FF17EC">
        <w:t>predominantly</w:t>
      </w:r>
      <w:r w:rsidR="00B8230D" w:rsidRPr="00FF17EC">
        <w:t xml:space="preserve"> </w:t>
      </w:r>
      <w:r w:rsidR="0013787B" w:rsidRPr="00FF17EC">
        <w:t>r</w:t>
      </w:r>
      <w:r w:rsidR="00B8230D" w:rsidRPr="00FF17EC">
        <w:t xml:space="preserve">ural and close to a city, because of the proximity of the two urban centres of Novi Sad and Belgrade, while Borski </w:t>
      </w:r>
      <w:r w:rsidR="0013787B" w:rsidRPr="00FF17EC">
        <w:t xml:space="preserve">district </w:t>
      </w:r>
      <w:r w:rsidR="00710A00" w:rsidRPr="00FF17EC">
        <w:t>could be</w:t>
      </w:r>
      <w:r w:rsidR="006B792A" w:rsidRPr="00FF17EC">
        <w:t xml:space="preserve"> classified as </w:t>
      </w:r>
      <w:r w:rsidR="00B8230D" w:rsidRPr="00FF17EC">
        <w:t>remote</w:t>
      </w:r>
      <w:r w:rsidR="00535D63" w:rsidRPr="00FF17EC">
        <w:t>.</w:t>
      </w:r>
    </w:p>
    <w:p w:rsidR="009A1D60" w:rsidRPr="00FF17EC" w:rsidRDefault="009A1D60" w:rsidP="00766BB2">
      <w:r w:rsidRPr="00FF17EC">
        <w:t xml:space="preserve">The programme partners considered the challenges generated by the rural areas in the previous programming period. </w:t>
      </w:r>
      <w:r w:rsidR="00710A00" w:rsidRPr="00FF17EC">
        <w:t>The number</w:t>
      </w:r>
      <w:r w:rsidRPr="00FF17EC">
        <w:t xml:space="preserve"> of </w:t>
      </w:r>
      <w:r w:rsidR="00710A00" w:rsidRPr="00FF17EC">
        <w:t>projects simply</w:t>
      </w:r>
      <w:r w:rsidRPr="00FF17EC">
        <w:t xml:space="preserve"> </w:t>
      </w:r>
      <w:r w:rsidR="00710A00" w:rsidRPr="00FF17EC">
        <w:t>focused on</w:t>
      </w:r>
      <w:r w:rsidRPr="00FF17EC">
        <w:t xml:space="preserve"> the theme of rural development was limited to few units. More </w:t>
      </w:r>
      <w:r w:rsidR="00710A00" w:rsidRPr="00FF17EC">
        <w:t>numerous are</w:t>
      </w:r>
      <w:r w:rsidRPr="00FF17EC">
        <w:t xml:space="preserve"> projects that address specific issues related to rural development, like accessibility, capitalization of resources of rura</w:t>
      </w:r>
      <w:r w:rsidR="007D1DDB" w:rsidRPr="00FF17EC">
        <w:t>l areas in tourism initiatives.</w:t>
      </w:r>
    </w:p>
    <w:p w:rsidR="007D1DDB" w:rsidRPr="00FF17EC" w:rsidRDefault="007D1DDB" w:rsidP="00766BB2"/>
    <w:p w:rsidR="00396246" w:rsidRPr="00FF17EC" w:rsidRDefault="00966A87" w:rsidP="009A1D60">
      <w:pPr>
        <w:pStyle w:val="Heading2"/>
      </w:pPr>
      <w:bookmarkStart w:id="11" w:name="_Toc383415702"/>
      <w:r w:rsidRPr="00FF17EC">
        <w:t xml:space="preserve">Ethnic </w:t>
      </w:r>
      <w:r w:rsidR="00396246" w:rsidRPr="00FF17EC">
        <w:t>Minorities</w:t>
      </w:r>
      <w:bookmarkEnd w:id="11"/>
      <w:r w:rsidR="00886CA6" w:rsidRPr="00FF17EC">
        <w:t xml:space="preserve"> </w:t>
      </w:r>
    </w:p>
    <w:p w:rsidR="00396246" w:rsidRPr="00FF17EC" w:rsidRDefault="00F832D1">
      <w:r w:rsidRPr="00FF17EC">
        <w:t>On both sides of the border</w:t>
      </w:r>
      <w:r w:rsidR="00D32A00" w:rsidRPr="00FF17EC">
        <w:t xml:space="preserve"> there are significant </w:t>
      </w:r>
      <w:r w:rsidRPr="00FF17EC">
        <w:t>ethnic</w:t>
      </w:r>
      <w:r w:rsidR="00D32A00" w:rsidRPr="00FF17EC">
        <w:t xml:space="preserve"> minorities</w:t>
      </w:r>
      <w:r w:rsidR="005A107F" w:rsidRPr="00FF17EC">
        <w:t>,</w:t>
      </w:r>
      <w:r w:rsidR="006A3CAA" w:rsidRPr="00FF17EC">
        <w:t xml:space="preserve"> which</w:t>
      </w:r>
      <w:r w:rsidRPr="00FF17EC">
        <w:t xml:space="preserve"> include Serbian and Romanian communities in the neighbour country. </w:t>
      </w:r>
      <w:r w:rsidRPr="00FF17EC">
        <w:rPr>
          <w:color w:val="000000"/>
          <w:shd w:val="clear" w:color="auto" w:fill="FFFFFF"/>
        </w:rPr>
        <w:t>While the majority of the 18,076 Serbs from Romania lives in Timi</w:t>
      </w:r>
      <w:r w:rsidR="006A3CAA" w:rsidRPr="00FF17EC">
        <w:rPr>
          <w:color w:val="000000"/>
          <w:shd w:val="clear" w:color="auto" w:fill="FFFFFF"/>
        </w:rPr>
        <w:t>ș</w:t>
      </w:r>
      <w:r w:rsidRPr="00FF17EC">
        <w:rPr>
          <w:color w:val="000000"/>
          <w:shd w:val="clear" w:color="auto" w:fill="FFFFFF"/>
        </w:rPr>
        <w:t xml:space="preserve"> (</w:t>
      </w:r>
      <w:r w:rsidR="00D3775E" w:rsidRPr="00FF17EC">
        <w:rPr>
          <w:color w:val="000000"/>
          <w:shd w:val="clear" w:color="auto" w:fill="FFFFFF"/>
        </w:rPr>
        <w:t>10.102 % ~1,5</w:t>
      </w:r>
      <w:r w:rsidRPr="00FF17EC">
        <w:rPr>
          <w:color w:val="000000"/>
          <w:shd w:val="clear" w:color="auto" w:fill="FFFFFF"/>
        </w:rPr>
        <w:t>) and Cara</w:t>
      </w:r>
      <w:r w:rsidR="006A3CAA" w:rsidRPr="00FF17EC">
        <w:rPr>
          <w:color w:val="000000"/>
          <w:shd w:val="clear" w:color="auto" w:fill="FFFFFF"/>
        </w:rPr>
        <w:t>ș</w:t>
      </w:r>
      <w:r w:rsidRPr="00FF17EC">
        <w:rPr>
          <w:color w:val="000000"/>
          <w:shd w:val="clear" w:color="auto" w:fill="FFFFFF"/>
        </w:rPr>
        <w:t xml:space="preserve"> Severin county (</w:t>
      </w:r>
      <w:r w:rsidR="00D3775E" w:rsidRPr="00FF17EC">
        <w:rPr>
          <w:color w:val="000000"/>
          <w:shd w:val="clear" w:color="auto" w:fill="FFFFFF"/>
        </w:rPr>
        <w:t>5036 ~</w:t>
      </w:r>
      <w:r w:rsidRPr="00FF17EC">
        <w:rPr>
          <w:color w:val="000000"/>
          <w:shd w:val="clear" w:color="auto" w:fill="FFFFFF"/>
        </w:rPr>
        <w:t>1,</w:t>
      </w:r>
      <w:r w:rsidR="00D3775E" w:rsidRPr="00FF17EC">
        <w:rPr>
          <w:color w:val="000000"/>
          <w:shd w:val="clear" w:color="auto" w:fill="FFFFFF"/>
        </w:rPr>
        <w:t>7</w:t>
      </w:r>
      <w:r w:rsidRPr="00FF17EC">
        <w:rPr>
          <w:color w:val="000000"/>
          <w:shd w:val="clear" w:color="auto" w:fill="FFFFFF"/>
        </w:rPr>
        <w:t>%) (both counties parts of the former Banat territory),</w:t>
      </w:r>
      <w:r w:rsidR="008C5136" w:rsidRPr="00FF17EC">
        <w:t xml:space="preserve"> the majority of Romanians in the Republic of Serbia live</w:t>
      </w:r>
      <w:r w:rsidR="00D3775E" w:rsidRPr="00FF17EC">
        <w:t>s</w:t>
      </w:r>
      <w:r w:rsidR="008C5136" w:rsidRPr="00FF17EC">
        <w:t xml:space="preserve"> in South Banat, (18</w:t>
      </w:r>
      <w:r w:rsidR="00FD5CCA" w:rsidRPr="00FF17EC">
        <w:t>.</w:t>
      </w:r>
      <w:r w:rsidR="008C5136" w:rsidRPr="00FF17EC">
        <w:t xml:space="preserve">000), which is more than 60% of all Romanians in Serbia. While </w:t>
      </w:r>
      <w:r w:rsidR="008C5136" w:rsidRPr="00FF17EC">
        <w:rPr>
          <w:color w:val="000000"/>
          <w:shd w:val="clear" w:color="auto" w:fill="FFFFFF"/>
        </w:rPr>
        <w:t>in Bor District</w:t>
      </w:r>
      <w:r w:rsidR="00687088" w:rsidRPr="00FF17EC">
        <w:rPr>
          <w:color w:val="000000"/>
          <w:shd w:val="clear" w:color="auto" w:fill="FFFFFF"/>
        </w:rPr>
        <w:t xml:space="preserve"> </w:t>
      </w:r>
      <w:r w:rsidR="008C5136" w:rsidRPr="00FF17EC">
        <w:rPr>
          <w:color w:val="000000"/>
          <w:shd w:val="clear" w:color="auto" w:fill="FFFFFF"/>
        </w:rPr>
        <w:t>there are 791 Romanians; in Braničevski district there are 728 Romanians; Vlach national minority lives in Borski District 13</w:t>
      </w:r>
      <w:r w:rsidR="00FD5CCA" w:rsidRPr="00FF17EC">
        <w:rPr>
          <w:color w:val="000000"/>
          <w:shd w:val="clear" w:color="auto" w:fill="FFFFFF"/>
        </w:rPr>
        <w:t>.</w:t>
      </w:r>
      <w:r w:rsidR="008C5136" w:rsidRPr="00FF17EC">
        <w:rPr>
          <w:color w:val="000000"/>
          <w:shd w:val="clear" w:color="auto" w:fill="FFFFFF"/>
        </w:rPr>
        <w:t>313; and Braničevski district 13</w:t>
      </w:r>
      <w:r w:rsidR="00071D83" w:rsidRPr="00FF17EC">
        <w:rPr>
          <w:color w:val="000000"/>
          <w:shd w:val="clear" w:color="auto" w:fill="FFFFFF"/>
        </w:rPr>
        <w:t>.</w:t>
      </w:r>
      <w:r w:rsidR="008C5136" w:rsidRPr="00FF17EC">
        <w:rPr>
          <w:color w:val="000000"/>
          <w:shd w:val="clear" w:color="auto" w:fill="FFFFFF"/>
        </w:rPr>
        <w:t>238</w:t>
      </w:r>
      <w:r w:rsidR="006A3CAA" w:rsidRPr="00FF17EC">
        <w:rPr>
          <w:color w:val="000000"/>
          <w:shd w:val="clear" w:color="auto" w:fill="FFFFFF"/>
        </w:rPr>
        <w:t xml:space="preserve">. </w:t>
      </w:r>
      <w:r w:rsidR="00D576A3" w:rsidRPr="00FF17EC">
        <w:rPr>
          <w:color w:val="000000"/>
          <w:shd w:val="clear" w:color="auto" w:fill="FFFFFF"/>
        </w:rPr>
        <w:t>In</w:t>
      </w:r>
      <w:r w:rsidR="00687088" w:rsidRPr="00FF17EC">
        <w:rPr>
          <w:color w:val="000000"/>
          <w:shd w:val="clear" w:color="auto" w:fill="FFFFFF"/>
        </w:rPr>
        <w:t xml:space="preserve"> </w:t>
      </w:r>
      <w:r w:rsidR="006A3CAA" w:rsidRPr="00FF17EC">
        <w:rPr>
          <w:color w:val="000000"/>
          <w:shd w:val="clear" w:color="auto" w:fill="FFFFFF"/>
        </w:rPr>
        <w:t>the Banat-</w:t>
      </w:r>
      <w:r w:rsidR="00D576A3" w:rsidRPr="00FF17EC">
        <w:rPr>
          <w:color w:val="000000"/>
          <w:shd w:val="clear" w:color="auto" w:fill="FFFFFF"/>
        </w:rPr>
        <w:t>districts</w:t>
      </w:r>
      <w:r w:rsidR="00687088" w:rsidRPr="00FF17EC">
        <w:rPr>
          <w:color w:val="000000"/>
          <w:shd w:val="clear" w:color="auto" w:fill="FFFFFF"/>
        </w:rPr>
        <w:t xml:space="preserve"> </w:t>
      </w:r>
      <w:r w:rsidRPr="00FF17EC">
        <w:rPr>
          <w:color w:val="000000"/>
          <w:shd w:val="clear" w:color="auto" w:fill="FFFFFF"/>
        </w:rPr>
        <w:t xml:space="preserve">- the </w:t>
      </w:r>
      <w:r w:rsidR="00071D83" w:rsidRPr="00FF17EC">
        <w:rPr>
          <w:color w:val="000000"/>
          <w:shd w:val="clear" w:color="auto" w:fill="FFFFFF"/>
        </w:rPr>
        <w:t>number</w:t>
      </w:r>
      <w:r w:rsidR="00687088" w:rsidRPr="00FF17EC">
        <w:rPr>
          <w:color w:val="000000"/>
          <w:shd w:val="clear" w:color="auto" w:fill="FFFFFF"/>
        </w:rPr>
        <w:t xml:space="preserve"> </w:t>
      </w:r>
      <w:r w:rsidRPr="00FF17EC">
        <w:rPr>
          <w:color w:val="000000"/>
          <w:shd w:val="clear" w:color="auto" w:fill="FFFFFF"/>
        </w:rPr>
        <w:t xml:space="preserve">of Romanians </w:t>
      </w:r>
      <w:r w:rsidR="00071D83" w:rsidRPr="00FF17EC">
        <w:rPr>
          <w:color w:val="000000"/>
          <w:shd w:val="clear" w:color="auto" w:fill="FFFFFF"/>
        </w:rPr>
        <w:t>is limited to few units, but</w:t>
      </w:r>
      <w:r w:rsidR="00687088" w:rsidRPr="00FF17EC">
        <w:rPr>
          <w:color w:val="000000"/>
          <w:shd w:val="clear" w:color="auto" w:fill="FFFFFF"/>
        </w:rPr>
        <w:t xml:space="preserve"> </w:t>
      </w:r>
      <w:r w:rsidR="00766BB2" w:rsidRPr="00FF17EC">
        <w:rPr>
          <w:color w:val="000000"/>
          <w:shd w:val="clear" w:color="auto" w:fill="FFFFFF"/>
        </w:rPr>
        <w:t xml:space="preserve">in the villages where they are present they still </w:t>
      </w:r>
      <w:r w:rsidR="00FF4394" w:rsidRPr="00FF17EC">
        <w:rPr>
          <w:color w:val="000000"/>
          <w:shd w:val="clear" w:color="auto" w:fill="FFFFFF"/>
        </w:rPr>
        <w:t>represent</w:t>
      </w:r>
      <w:r w:rsidR="00687088" w:rsidRPr="00FF17EC">
        <w:rPr>
          <w:color w:val="000000"/>
          <w:shd w:val="clear" w:color="auto" w:fill="FFFFFF"/>
        </w:rPr>
        <w:t xml:space="preserve"> </w:t>
      </w:r>
      <w:r w:rsidR="00766BB2" w:rsidRPr="00FF17EC">
        <w:rPr>
          <w:color w:val="000000"/>
          <w:shd w:val="clear" w:color="auto" w:fill="FFFFFF"/>
        </w:rPr>
        <w:t xml:space="preserve">a </w:t>
      </w:r>
      <w:r w:rsidR="00FF4394" w:rsidRPr="00FF17EC">
        <w:rPr>
          <w:color w:val="000000"/>
          <w:shd w:val="clear" w:color="auto" w:fill="FFFFFF"/>
        </w:rPr>
        <w:t>significant potential</w:t>
      </w:r>
      <w:r w:rsidR="00766BB2" w:rsidRPr="00FF17EC">
        <w:rPr>
          <w:color w:val="000000"/>
          <w:shd w:val="clear" w:color="auto" w:fill="FFFFFF"/>
        </w:rPr>
        <w:t xml:space="preserve"> and a challenge, for the CBC programme.</w:t>
      </w:r>
    </w:p>
    <w:p w:rsidR="00396246" w:rsidRPr="00FF17EC" w:rsidRDefault="00F832D1">
      <w:r w:rsidRPr="00FF17EC">
        <w:t xml:space="preserve">According to the </w:t>
      </w:r>
      <w:r w:rsidR="005A107F" w:rsidRPr="00FF17EC">
        <w:t>2011 census</w:t>
      </w:r>
      <w:r w:rsidR="007E35C9" w:rsidRPr="00FF17EC">
        <w:rPr>
          <w:rStyle w:val="FootnoteReference"/>
        </w:rPr>
        <w:footnoteReference w:id="10"/>
      </w:r>
      <w:r w:rsidR="005A107F" w:rsidRPr="00FF17EC">
        <w:t xml:space="preserve">, </w:t>
      </w:r>
      <w:r w:rsidR="001F313A" w:rsidRPr="00FF17EC">
        <w:t xml:space="preserve">in </w:t>
      </w:r>
      <w:r w:rsidR="005A107F" w:rsidRPr="00FF17EC">
        <w:t xml:space="preserve">the </w:t>
      </w:r>
      <w:r w:rsidR="005619CD" w:rsidRPr="00FF17EC">
        <w:t>Timi</w:t>
      </w:r>
      <w:r w:rsidR="00484627" w:rsidRPr="00FF17EC">
        <w:t>ș</w:t>
      </w:r>
      <w:r w:rsidR="005619CD" w:rsidRPr="00FF17EC">
        <w:t xml:space="preserve"> </w:t>
      </w:r>
      <w:r w:rsidR="001F313A" w:rsidRPr="00FF17EC">
        <w:t>county,</w:t>
      </w:r>
      <w:r w:rsidR="005619CD" w:rsidRPr="00FF17EC">
        <w:t xml:space="preserve"> the large</w:t>
      </w:r>
      <w:r w:rsidR="001F313A" w:rsidRPr="00FF17EC">
        <w:t>st</w:t>
      </w:r>
      <w:r w:rsidR="005619CD" w:rsidRPr="00FF17EC">
        <w:t xml:space="preserve"> ethnic group</w:t>
      </w:r>
      <w:r w:rsidRPr="00FF17EC">
        <w:t xml:space="preserve">s apart </w:t>
      </w:r>
      <w:r w:rsidR="001F313A" w:rsidRPr="00FF17EC">
        <w:t xml:space="preserve">from </w:t>
      </w:r>
      <w:r w:rsidRPr="00FF17EC">
        <w:t xml:space="preserve">Serbian, </w:t>
      </w:r>
      <w:r w:rsidR="001F313A" w:rsidRPr="00FF17EC">
        <w:t>were</w:t>
      </w:r>
      <w:r w:rsidR="005619CD" w:rsidRPr="00FF17EC">
        <w:t xml:space="preserve"> th</w:t>
      </w:r>
      <w:r w:rsidR="001F313A" w:rsidRPr="00FF17EC">
        <w:t>e</w:t>
      </w:r>
      <w:r w:rsidR="005619CD" w:rsidRPr="00FF17EC">
        <w:t xml:space="preserve"> Hungarians (5.20 % of</w:t>
      </w:r>
      <w:r w:rsidR="00687088" w:rsidRPr="00FF17EC">
        <w:t xml:space="preserve"> </w:t>
      </w:r>
      <w:r w:rsidR="005619CD" w:rsidRPr="00FF17EC">
        <w:t>the population total</w:t>
      </w:r>
      <w:r w:rsidRPr="00FF17EC">
        <w:t xml:space="preserve">), </w:t>
      </w:r>
      <w:r w:rsidR="005619CD" w:rsidRPr="00FF17EC">
        <w:t xml:space="preserve">and </w:t>
      </w:r>
      <w:r w:rsidR="001F313A" w:rsidRPr="00FF17EC">
        <w:t xml:space="preserve">the </w:t>
      </w:r>
      <w:r w:rsidR="005619CD" w:rsidRPr="00FF17EC">
        <w:t xml:space="preserve">Roma </w:t>
      </w:r>
      <w:r w:rsidR="001F313A" w:rsidRPr="00FF17EC">
        <w:t xml:space="preserve">population </w:t>
      </w:r>
      <w:r w:rsidR="005619CD" w:rsidRPr="00FF17EC">
        <w:t>(2.20%).</w:t>
      </w:r>
      <w:r w:rsidR="00734927" w:rsidRPr="00FF17EC">
        <w:t xml:space="preserve"> </w:t>
      </w:r>
      <w:r w:rsidR="005619CD" w:rsidRPr="00FF17EC">
        <w:t>In Cara</w:t>
      </w:r>
      <w:r w:rsidR="00484627" w:rsidRPr="00FF17EC">
        <w:t>ș</w:t>
      </w:r>
      <w:r w:rsidR="005619CD" w:rsidRPr="00FF17EC">
        <w:t xml:space="preserve"> Severin</w:t>
      </w:r>
      <w:r w:rsidR="005555DF" w:rsidRPr="00FF17EC">
        <w:t xml:space="preserve"> County</w:t>
      </w:r>
      <w:r w:rsidR="001F313A" w:rsidRPr="00FF17EC">
        <w:t>,</w:t>
      </w:r>
      <w:r w:rsidR="005619CD" w:rsidRPr="00FF17EC">
        <w:t xml:space="preserve"> Hungarians (roughly 2%)</w:t>
      </w:r>
      <w:r w:rsidR="001F313A" w:rsidRPr="00FF17EC">
        <w:t>,</w:t>
      </w:r>
      <w:r w:rsidR="005619CD" w:rsidRPr="00FF17EC">
        <w:t xml:space="preserve"> Germans (1.75%), and Roma (2.50%)</w:t>
      </w:r>
      <w:r w:rsidR="00734927" w:rsidRPr="00FF17EC">
        <w:t>. In Mehedin</w:t>
      </w:r>
      <w:r w:rsidR="00484627" w:rsidRPr="00FF17EC">
        <w:t>ți</w:t>
      </w:r>
      <w:r w:rsidR="00734927" w:rsidRPr="00FF17EC">
        <w:t xml:space="preserve"> </w:t>
      </w:r>
      <w:r w:rsidR="005555DF" w:rsidRPr="00FF17EC">
        <w:t>County</w:t>
      </w:r>
      <w:r w:rsidR="005A107F" w:rsidRPr="00FF17EC">
        <w:t xml:space="preserve"> the</w:t>
      </w:r>
      <w:r w:rsidR="00734927" w:rsidRPr="00FF17EC">
        <w:t xml:space="preserve"> largest ethnic group is that of Roma (5%). The others are present with few units.</w:t>
      </w:r>
    </w:p>
    <w:p w:rsidR="00F832D1" w:rsidRPr="00FF17EC" w:rsidRDefault="00886CA6" w:rsidP="00850B3E">
      <w:r w:rsidRPr="00FF17EC">
        <w:lastRenderedPageBreak/>
        <w:t xml:space="preserve">In the Serbian part </w:t>
      </w:r>
      <w:r w:rsidR="00710A00" w:rsidRPr="00FF17EC">
        <w:t>of the</w:t>
      </w:r>
      <w:r w:rsidRPr="00FF17EC">
        <w:t xml:space="preserve"> </w:t>
      </w:r>
      <w:r w:rsidR="005555DF" w:rsidRPr="00FF17EC">
        <w:t>eligible area</w:t>
      </w:r>
      <w:r w:rsidR="005619CD" w:rsidRPr="00FF17EC">
        <w:t>, the largest ethnic g</w:t>
      </w:r>
      <w:r w:rsidR="005A107F" w:rsidRPr="00FF17EC">
        <w:t>roup is that of Hungarians</w:t>
      </w:r>
      <w:r w:rsidR="00D576A3" w:rsidRPr="00FF17EC">
        <w:t xml:space="preserve">, </w:t>
      </w:r>
      <w:r w:rsidR="001F313A" w:rsidRPr="00FF17EC">
        <w:t>(</w:t>
      </w:r>
      <w:r w:rsidR="005A107F" w:rsidRPr="00FF17EC">
        <w:t>11%</w:t>
      </w:r>
      <w:r w:rsidR="00850B3E" w:rsidRPr="00FF17EC">
        <w:t xml:space="preserve"> of the population in the eligible area</w:t>
      </w:r>
      <w:r w:rsidR="001F313A" w:rsidRPr="00FF17EC">
        <w:t>)</w:t>
      </w:r>
      <w:r w:rsidR="005A107F" w:rsidRPr="00FF17EC">
        <w:t>.</w:t>
      </w:r>
      <w:r w:rsidR="00850B3E" w:rsidRPr="00FF17EC">
        <w:t xml:space="preserve"> A large community of Vlachs is present in Braničevski</w:t>
      </w:r>
      <w:r w:rsidR="00710A00" w:rsidRPr="00FF17EC">
        <w:t xml:space="preserve"> a</w:t>
      </w:r>
      <w:r w:rsidR="00850B3E" w:rsidRPr="00FF17EC">
        <w:t xml:space="preserve">nd Borski. </w:t>
      </w:r>
    </w:p>
    <w:p w:rsidR="00850B3E" w:rsidRPr="00FF17EC" w:rsidRDefault="00850B3E" w:rsidP="00850B3E">
      <w:r w:rsidRPr="00FF17EC">
        <w:t xml:space="preserve">Apart the Hungarians, the Roma ethnic group is the one </w:t>
      </w:r>
      <w:r w:rsidR="00710A00" w:rsidRPr="00FF17EC">
        <w:t>homogeneously</w:t>
      </w:r>
      <w:r w:rsidRPr="00FF17EC">
        <w:t xml:space="preserve"> present in all counties and districts. The integration of this </w:t>
      </w:r>
      <w:r w:rsidR="00710A00" w:rsidRPr="00FF17EC">
        <w:t>minority in</w:t>
      </w:r>
      <w:r w:rsidRPr="00FF17EC">
        <w:t xml:space="preserve"> the labor market, the access to basic services, the access to prima</w:t>
      </w:r>
      <w:r w:rsidR="00710A00" w:rsidRPr="00FF17EC">
        <w:t>ry and higher education of the R</w:t>
      </w:r>
      <w:r w:rsidRPr="00FF17EC">
        <w:t>oma children, are among the most relevant common challenges</w:t>
      </w:r>
      <w:r w:rsidR="00687088" w:rsidRPr="00FF17EC">
        <w:t xml:space="preserve"> </w:t>
      </w:r>
      <w:r w:rsidRPr="00FF17EC">
        <w:t>for the programme.</w:t>
      </w:r>
    </w:p>
    <w:tbl>
      <w:tblPr>
        <w:tblW w:w="8482" w:type="dxa"/>
        <w:jc w:val="center"/>
        <w:tblLayout w:type="fixed"/>
        <w:tblCellMar>
          <w:left w:w="70" w:type="dxa"/>
          <w:right w:w="70" w:type="dxa"/>
        </w:tblCellMar>
        <w:tblLook w:val="04A0" w:firstRow="1" w:lastRow="0" w:firstColumn="1" w:lastColumn="0" w:noHBand="0" w:noVBand="1"/>
      </w:tblPr>
      <w:tblGrid>
        <w:gridCol w:w="1848"/>
        <w:gridCol w:w="1276"/>
        <w:gridCol w:w="776"/>
        <w:gridCol w:w="896"/>
        <w:gridCol w:w="1134"/>
        <w:gridCol w:w="1276"/>
        <w:gridCol w:w="1276"/>
      </w:tblGrid>
      <w:tr w:rsidR="00D25AA5" w:rsidRPr="00FF17EC" w:rsidTr="00A42F79">
        <w:trPr>
          <w:trHeight w:val="330"/>
          <w:jc w:val="center"/>
        </w:trPr>
        <w:tc>
          <w:tcPr>
            <w:tcW w:w="1848" w:type="dxa"/>
            <w:tcBorders>
              <w:top w:val="single" w:sz="4" w:space="0" w:color="auto"/>
              <w:bottom w:val="single" w:sz="4" w:space="0" w:color="auto"/>
            </w:tcBorders>
            <w:shd w:val="clear" w:color="auto" w:fill="auto"/>
            <w:vAlign w:val="bottom"/>
            <w:hideMark/>
          </w:tcPr>
          <w:p w:rsidR="003B1322" w:rsidRPr="00FF17EC" w:rsidRDefault="003B1322">
            <w:pPr>
              <w:keepNext/>
              <w:keepLines/>
              <w:spacing w:after="0" w:line="240" w:lineRule="auto"/>
              <w:jc w:val="right"/>
              <w:rPr>
                <w:lang w:eastAsia="it-IT"/>
              </w:rPr>
            </w:pPr>
          </w:p>
        </w:tc>
        <w:tc>
          <w:tcPr>
            <w:tcW w:w="1276" w:type="dxa"/>
            <w:tcBorders>
              <w:top w:val="single" w:sz="4" w:space="0" w:color="auto"/>
              <w:bottom w:val="single" w:sz="4" w:space="0" w:color="auto"/>
            </w:tcBorders>
            <w:shd w:val="clear" w:color="auto" w:fill="auto"/>
            <w:vAlign w:val="bottom"/>
            <w:hideMark/>
          </w:tcPr>
          <w:p w:rsidR="003B1322" w:rsidRPr="00FF17EC" w:rsidRDefault="00D25AA5">
            <w:pPr>
              <w:keepNext/>
              <w:keepLines/>
              <w:spacing w:after="0" w:line="240" w:lineRule="auto"/>
              <w:jc w:val="right"/>
              <w:rPr>
                <w:lang w:val="it-IT" w:eastAsia="it-IT"/>
              </w:rPr>
            </w:pPr>
            <w:r w:rsidRPr="00FF17EC">
              <w:rPr>
                <w:lang w:val="it-IT" w:eastAsia="it-IT"/>
              </w:rPr>
              <w:t>Romanians</w:t>
            </w:r>
          </w:p>
        </w:tc>
        <w:tc>
          <w:tcPr>
            <w:tcW w:w="776" w:type="dxa"/>
            <w:tcBorders>
              <w:top w:val="single" w:sz="4" w:space="0" w:color="auto"/>
              <w:bottom w:val="single" w:sz="4" w:space="0" w:color="auto"/>
            </w:tcBorders>
            <w:shd w:val="clear" w:color="auto" w:fill="auto"/>
            <w:vAlign w:val="bottom"/>
            <w:hideMark/>
          </w:tcPr>
          <w:p w:rsidR="003B1322" w:rsidRPr="00FF17EC" w:rsidRDefault="00D25AA5">
            <w:pPr>
              <w:keepNext/>
              <w:keepLines/>
              <w:spacing w:after="0" w:line="240" w:lineRule="auto"/>
              <w:jc w:val="right"/>
              <w:rPr>
                <w:lang w:val="it-IT" w:eastAsia="it-IT"/>
              </w:rPr>
            </w:pPr>
            <w:r w:rsidRPr="00FF17EC">
              <w:rPr>
                <w:lang w:val="it-IT" w:eastAsia="it-IT"/>
              </w:rPr>
              <w:t>Vlachs</w:t>
            </w:r>
          </w:p>
        </w:tc>
        <w:tc>
          <w:tcPr>
            <w:tcW w:w="896" w:type="dxa"/>
            <w:tcBorders>
              <w:top w:val="single" w:sz="4" w:space="0" w:color="auto"/>
              <w:bottom w:val="single" w:sz="4" w:space="0" w:color="auto"/>
            </w:tcBorders>
            <w:shd w:val="clear" w:color="auto" w:fill="auto"/>
            <w:vAlign w:val="bottom"/>
            <w:hideMark/>
          </w:tcPr>
          <w:p w:rsidR="003B1322" w:rsidRPr="00FF17EC" w:rsidRDefault="00D25AA5">
            <w:pPr>
              <w:keepNext/>
              <w:keepLines/>
              <w:spacing w:after="0" w:line="240" w:lineRule="auto"/>
              <w:jc w:val="right"/>
              <w:rPr>
                <w:lang w:val="it-IT" w:eastAsia="it-IT"/>
              </w:rPr>
            </w:pPr>
            <w:r w:rsidRPr="00FF17EC">
              <w:rPr>
                <w:lang w:val="it-IT" w:eastAsia="it-IT"/>
              </w:rPr>
              <w:t>Serbian</w:t>
            </w:r>
          </w:p>
        </w:tc>
        <w:tc>
          <w:tcPr>
            <w:tcW w:w="1134" w:type="dxa"/>
            <w:tcBorders>
              <w:top w:val="single" w:sz="4" w:space="0" w:color="auto"/>
              <w:bottom w:val="single" w:sz="4" w:space="0" w:color="auto"/>
            </w:tcBorders>
            <w:shd w:val="clear" w:color="auto" w:fill="auto"/>
            <w:vAlign w:val="bottom"/>
            <w:hideMark/>
          </w:tcPr>
          <w:p w:rsidR="003B1322" w:rsidRPr="00FF17EC" w:rsidRDefault="00D25AA5">
            <w:pPr>
              <w:keepNext/>
              <w:keepLines/>
              <w:spacing w:after="0" w:line="240" w:lineRule="auto"/>
              <w:jc w:val="right"/>
              <w:rPr>
                <w:lang w:val="it-IT" w:eastAsia="it-IT"/>
              </w:rPr>
            </w:pPr>
            <w:r w:rsidRPr="00FF17EC">
              <w:rPr>
                <w:lang w:val="it-IT" w:eastAsia="it-IT"/>
              </w:rPr>
              <w:t>Croatians</w:t>
            </w:r>
          </w:p>
        </w:tc>
        <w:tc>
          <w:tcPr>
            <w:tcW w:w="1276" w:type="dxa"/>
            <w:tcBorders>
              <w:top w:val="single" w:sz="4" w:space="0" w:color="auto"/>
              <w:bottom w:val="single" w:sz="4" w:space="0" w:color="auto"/>
            </w:tcBorders>
            <w:vAlign w:val="bottom"/>
          </w:tcPr>
          <w:p w:rsidR="003B1322" w:rsidRPr="00FF17EC" w:rsidRDefault="00D25AA5">
            <w:pPr>
              <w:keepNext/>
              <w:keepLines/>
              <w:spacing w:after="0" w:line="240" w:lineRule="auto"/>
              <w:jc w:val="right"/>
              <w:rPr>
                <w:lang w:val="it-IT" w:eastAsia="it-IT"/>
              </w:rPr>
            </w:pPr>
            <w:r w:rsidRPr="00FF17EC">
              <w:rPr>
                <w:lang w:val="it-IT" w:eastAsia="it-IT"/>
              </w:rPr>
              <w:t>Roma</w:t>
            </w:r>
          </w:p>
        </w:tc>
        <w:tc>
          <w:tcPr>
            <w:tcW w:w="1276" w:type="dxa"/>
            <w:tcBorders>
              <w:top w:val="single" w:sz="4" w:space="0" w:color="auto"/>
              <w:bottom w:val="single" w:sz="4" w:space="0" w:color="auto"/>
            </w:tcBorders>
            <w:shd w:val="clear" w:color="auto" w:fill="auto"/>
            <w:vAlign w:val="bottom"/>
            <w:hideMark/>
          </w:tcPr>
          <w:p w:rsidR="003B1322" w:rsidRPr="00FF17EC" w:rsidRDefault="00D25AA5">
            <w:pPr>
              <w:keepNext/>
              <w:keepLines/>
              <w:spacing w:after="0" w:line="240" w:lineRule="auto"/>
              <w:jc w:val="right"/>
              <w:rPr>
                <w:lang w:val="it-IT" w:eastAsia="it-IT"/>
              </w:rPr>
            </w:pPr>
            <w:r w:rsidRPr="00FF17EC">
              <w:rPr>
                <w:lang w:val="it-IT" w:eastAsia="it-IT"/>
              </w:rPr>
              <w:t>Hungarians</w:t>
            </w:r>
          </w:p>
        </w:tc>
      </w:tr>
      <w:tr w:rsidR="00A42F79" w:rsidRPr="00FF17EC" w:rsidTr="00A42F79">
        <w:trPr>
          <w:trHeight w:val="315"/>
          <w:jc w:val="center"/>
        </w:trPr>
        <w:tc>
          <w:tcPr>
            <w:tcW w:w="1848"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Timiş</w:t>
            </w:r>
          </w:p>
        </w:tc>
        <w:tc>
          <w:tcPr>
            <w:tcW w:w="1276"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776"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896"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1,5%</w:t>
            </w:r>
          </w:p>
        </w:tc>
        <w:tc>
          <w:tcPr>
            <w:tcW w:w="1134"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0,0%</w:t>
            </w:r>
          </w:p>
        </w:tc>
        <w:tc>
          <w:tcPr>
            <w:tcW w:w="1276" w:type="dxa"/>
            <w:tcBorders>
              <w:top w:val="single" w:sz="4" w:space="0" w:color="auto"/>
            </w:tcBorders>
            <w:vAlign w:val="bottom"/>
          </w:tcPr>
          <w:p w:rsidR="00A42F79" w:rsidRPr="00FF17EC" w:rsidRDefault="00A42F79" w:rsidP="00D25AA5">
            <w:pPr>
              <w:keepNext/>
              <w:keepLines/>
              <w:spacing w:after="0" w:line="240" w:lineRule="auto"/>
              <w:jc w:val="right"/>
              <w:rPr>
                <w:lang w:val="it-IT" w:eastAsia="it-IT"/>
              </w:rPr>
            </w:pPr>
            <w:r w:rsidRPr="00FF17EC">
              <w:t>2,1%</w:t>
            </w:r>
          </w:p>
        </w:tc>
        <w:tc>
          <w:tcPr>
            <w:tcW w:w="1276"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5,2%</w:t>
            </w:r>
          </w:p>
        </w:tc>
      </w:tr>
      <w:tr w:rsidR="00A42F79" w:rsidRPr="00FF17EC" w:rsidTr="00A42F79">
        <w:trPr>
          <w:trHeight w:val="60"/>
          <w:jc w:val="center"/>
        </w:trPr>
        <w:tc>
          <w:tcPr>
            <w:tcW w:w="1848"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Caraş-Severin</w:t>
            </w:r>
          </w:p>
        </w:tc>
        <w:tc>
          <w:tcPr>
            <w:tcW w:w="12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7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89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1,7%</w:t>
            </w:r>
          </w:p>
        </w:tc>
        <w:tc>
          <w:tcPr>
            <w:tcW w:w="1134"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1,7%</w:t>
            </w:r>
          </w:p>
        </w:tc>
        <w:tc>
          <w:tcPr>
            <w:tcW w:w="1276" w:type="dxa"/>
            <w:vAlign w:val="bottom"/>
          </w:tcPr>
          <w:p w:rsidR="00A42F79" w:rsidRPr="00FF17EC" w:rsidRDefault="00A42F79" w:rsidP="00D25AA5">
            <w:pPr>
              <w:keepNext/>
              <w:keepLines/>
              <w:spacing w:after="0" w:line="240" w:lineRule="auto"/>
              <w:jc w:val="right"/>
              <w:rPr>
                <w:lang w:val="it-IT" w:eastAsia="it-IT"/>
              </w:rPr>
            </w:pPr>
            <w:r w:rsidRPr="00FF17EC">
              <w:t>2,5%</w:t>
            </w:r>
          </w:p>
        </w:tc>
        <w:tc>
          <w:tcPr>
            <w:tcW w:w="12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1,0%</w:t>
            </w:r>
          </w:p>
        </w:tc>
      </w:tr>
      <w:tr w:rsidR="00A42F79" w:rsidRPr="00FF17EC" w:rsidTr="00A42F79">
        <w:trPr>
          <w:trHeight w:val="315"/>
          <w:jc w:val="center"/>
        </w:trPr>
        <w:tc>
          <w:tcPr>
            <w:tcW w:w="1848"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Mehedinţi</w:t>
            </w:r>
          </w:p>
        </w:tc>
        <w:tc>
          <w:tcPr>
            <w:tcW w:w="12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7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89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0,1%</w:t>
            </w:r>
          </w:p>
        </w:tc>
        <w:tc>
          <w:tcPr>
            <w:tcW w:w="1134" w:type="dxa"/>
            <w:shd w:val="clear" w:color="auto" w:fill="auto"/>
            <w:vAlign w:val="bottom"/>
            <w:hideMark/>
          </w:tcPr>
          <w:p w:rsidR="003B1322" w:rsidRPr="00FF17EC" w:rsidRDefault="003A35C4">
            <w:pPr>
              <w:keepNext/>
              <w:keepLines/>
              <w:spacing w:after="0" w:line="240" w:lineRule="auto"/>
              <w:jc w:val="right"/>
              <w:rPr>
                <w:lang w:val="it-IT" w:eastAsia="it-IT"/>
              </w:rPr>
            </w:pPr>
            <w:r w:rsidRPr="00FF17EC">
              <w:rPr>
                <w:lang w:val="it-IT" w:eastAsia="it-IT"/>
              </w:rPr>
              <w:t>0,0%</w:t>
            </w:r>
            <w:r w:rsidR="00A42F79" w:rsidRPr="00FF17EC">
              <w:rPr>
                <w:lang w:val="it-IT" w:eastAsia="it-IT"/>
              </w:rPr>
              <w:t> </w:t>
            </w:r>
          </w:p>
        </w:tc>
        <w:tc>
          <w:tcPr>
            <w:tcW w:w="1276" w:type="dxa"/>
            <w:vAlign w:val="bottom"/>
          </w:tcPr>
          <w:p w:rsidR="00A42F79" w:rsidRPr="00FF17EC" w:rsidRDefault="00A42F79" w:rsidP="00D25AA5">
            <w:pPr>
              <w:keepNext/>
              <w:keepLines/>
              <w:spacing w:after="0" w:line="240" w:lineRule="auto"/>
              <w:jc w:val="right"/>
              <w:rPr>
                <w:lang w:val="it-IT" w:eastAsia="it-IT"/>
              </w:rPr>
            </w:pPr>
            <w:r w:rsidRPr="00FF17EC">
              <w:t>4,1%</w:t>
            </w:r>
          </w:p>
        </w:tc>
        <w:tc>
          <w:tcPr>
            <w:tcW w:w="12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0,1%</w:t>
            </w:r>
          </w:p>
        </w:tc>
      </w:tr>
      <w:tr w:rsidR="00A42F79" w:rsidRPr="00FF17EC" w:rsidTr="00A42F79">
        <w:trPr>
          <w:trHeight w:val="315"/>
          <w:jc w:val="center"/>
        </w:trPr>
        <w:tc>
          <w:tcPr>
            <w:tcW w:w="1848" w:type="dxa"/>
            <w:tcBorders>
              <w:bottom w:val="single" w:sz="4" w:space="0" w:color="auto"/>
            </w:tcBorders>
            <w:shd w:val="clear" w:color="auto" w:fill="auto"/>
            <w:vAlign w:val="bottom"/>
            <w:hideMark/>
          </w:tcPr>
          <w:p w:rsidR="003B1322" w:rsidRPr="00FF17EC" w:rsidRDefault="00077B35">
            <w:pPr>
              <w:keepNext/>
              <w:keepLines/>
              <w:spacing w:after="0" w:line="240" w:lineRule="auto"/>
              <w:jc w:val="right"/>
              <w:rPr>
                <w:b/>
                <w:lang w:val="it-IT" w:eastAsia="it-IT"/>
              </w:rPr>
            </w:pPr>
            <w:r w:rsidRPr="00FF17EC">
              <w:rPr>
                <w:b/>
                <w:lang w:val="it-IT" w:eastAsia="it-IT"/>
              </w:rPr>
              <w:t>ROMANIA</w:t>
            </w:r>
          </w:p>
        </w:tc>
        <w:tc>
          <w:tcPr>
            <w:tcW w:w="1276" w:type="dxa"/>
            <w:tcBorders>
              <w:bottom w:val="single" w:sz="4" w:space="0" w:color="auto"/>
            </w:tcBorders>
            <w:shd w:val="clear" w:color="auto" w:fill="auto"/>
            <w:vAlign w:val="bottom"/>
            <w:hideMark/>
          </w:tcPr>
          <w:p w:rsidR="003B1322" w:rsidRPr="00FF17EC" w:rsidRDefault="00077B35">
            <w:pPr>
              <w:keepNext/>
              <w:keepLines/>
              <w:spacing w:after="0" w:line="240" w:lineRule="auto"/>
              <w:jc w:val="right"/>
              <w:rPr>
                <w:b/>
                <w:lang w:val="it-IT" w:eastAsia="it-IT"/>
              </w:rPr>
            </w:pPr>
            <w:r w:rsidRPr="00FF17EC">
              <w:rPr>
                <w:b/>
                <w:lang w:val="it-IT" w:eastAsia="it-IT"/>
              </w:rPr>
              <w:t> </w:t>
            </w:r>
          </w:p>
        </w:tc>
        <w:tc>
          <w:tcPr>
            <w:tcW w:w="776" w:type="dxa"/>
            <w:tcBorders>
              <w:bottom w:val="single" w:sz="4" w:space="0" w:color="auto"/>
            </w:tcBorders>
            <w:shd w:val="clear" w:color="auto" w:fill="auto"/>
            <w:vAlign w:val="bottom"/>
            <w:hideMark/>
          </w:tcPr>
          <w:p w:rsidR="003B1322" w:rsidRPr="00FF17EC" w:rsidRDefault="00077B35">
            <w:pPr>
              <w:keepNext/>
              <w:keepLines/>
              <w:spacing w:after="0" w:line="240" w:lineRule="auto"/>
              <w:jc w:val="right"/>
              <w:rPr>
                <w:b/>
                <w:lang w:val="it-IT" w:eastAsia="it-IT"/>
              </w:rPr>
            </w:pPr>
            <w:r w:rsidRPr="00FF17EC">
              <w:rPr>
                <w:b/>
                <w:lang w:val="it-IT" w:eastAsia="it-IT"/>
              </w:rPr>
              <w:t> </w:t>
            </w:r>
          </w:p>
        </w:tc>
        <w:tc>
          <w:tcPr>
            <w:tcW w:w="896" w:type="dxa"/>
            <w:tcBorders>
              <w:bottom w:val="single" w:sz="4" w:space="0" w:color="auto"/>
            </w:tcBorders>
            <w:shd w:val="clear" w:color="auto" w:fill="auto"/>
            <w:vAlign w:val="bottom"/>
            <w:hideMark/>
          </w:tcPr>
          <w:p w:rsidR="003B1322" w:rsidRPr="00FF17EC" w:rsidRDefault="00077B35">
            <w:pPr>
              <w:keepNext/>
              <w:keepLines/>
              <w:spacing w:after="0" w:line="240" w:lineRule="auto"/>
              <w:jc w:val="right"/>
              <w:rPr>
                <w:b/>
                <w:lang w:val="it-IT" w:eastAsia="it-IT"/>
              </w:rPr>
            </w:pPr>
            <w:r w:rsidRPr="00FF17EC">
              <w:rPr>
                <w:b/>
                <w:lang w:val="it-IT" w:eastAsia="it-IT"/>
              </w:rPr>
              <w:t>0,1%</w:t>
            </w:r>
          </w:p>
        </w:tc>
        <w:tc>
          <w:tcPr>
            <w:tcW w:w="1134" w:type="dxa"/>
            <w:tcBorders>
              <w:bottom w:val="single" w:sz="4" w:space="0" w:color="auto"/>
            </w:tcBorders>
            <w:shd w:val="clear" w:color="auto" w:fill="auto"/>
            <w:vAlign w:val="bottom"/>
            <w:hideMark/>
          </w:tcPr>
          <w:p w:rsidR="003B1322" w:rsidRPr="00FF17EC" w:rsidRDefault="00077B35">
            <w:pPr>
              <w:keepNext/>
              <w:keepLines/>
              <w:spacing w:after="0" w:line="240" w:lineRule="auto"/>
              <w:jc w:val="right"/>
              <w:rPr>
                <w:b/>
                <w:lang w:val="it-IT" w:eastAsia="it-IT"/>
              </w:rPr>
            </w:pPr>
            <w:r w:rsidRPr="00FF17EC">
              <w:rPr>
                <w:b/>
                <w:lang w:val="it-IT" w:eastAsia="it-IT"/>
              </w:rPr>
              <w:t>0,0%</w:t>
            </w:r>
          </w:p>
        </w:tc>
        <w:tc>
          <w:tcPr>
            <w:tcW w:w="1276" w:type="dxa"/>
            <w:tcBorders>
              <w:bottom w:val="single" w:sz="4" w:space="0" w:color="auto"/>
            </w:tcBorders>
            <w:vAlign w:val="bottom"/>
          </w:tcPr>
          <w:p w:rsidR="00A42F79" w:rsidRPr="00FF17EC" w:rsidRDefault="00A42F79" w:rsidP="00D25AA5">
            <w:pPr>
              <w:keepNext/>
              <w:keepLines/>
              <w:spacing w:after="0" w:line="240" w:lineRule="auto"/>
              <w:jc w:val="right"/>
              <w:rPr>
                <w:b/>
                <w:lang w:val="it-IT" w:eastAsia="it-IT"/>
              </w:rPr>
            </w:pPr>
            <w:r w:rsidRPr="00FF17EC">
              <w:t>2,9%</w:t>
            </w:r>
          </w:p>
        </w:tc>
        <w:tc>
          <w:tcPr>
            <w:tcW w:w="1276" w:type="dxa"/>
            <w:tcBorders>
              <w:bottom w:val="single" w:sz="4" w:space="0" w:color="auto"/>
            </w:tcBorders>
            <w:shd w:val="clear" w:color="auto" w:fill="auto"/>
            <w:vAlign w:val="bottom"/>
            <w:hideMark/>
          </w:tcPr>
          <w:p w:rsidR="003B1322" w:rsidRPr="00FF17EC" w:rsidRDefault="00077B35">
            <w:pPr>
              <w:keepNext/>
              <w:keepLines/>
              <w:spacing w:after="0" w:line="240" w:lineRule="auto"/>
              <w:jc w:val="right"/>
              <w:rPr>
                <w:b/>
                <w:lang w:val="it-IT" w:eastAsia="it-IT"/>
              </w:rPr>
            </w:pPr>
            <w:r w:rsidRPr="00FF17EC">
              <w:rPr>
                <w:b/>
                <w:lang w:val="it-IT" w:eastAsia="it-IT"/>
              </w:rPr>
              <w:t>5,7%</w:t>
            </w:r>
          </w:p>
        </w:tc>
      </w:tr>
      <w:tr w:rsidR="00A42F79" w:rsidRPr="00FF17EC" w:rsidTr="00A42F79">
        <w:trPr>
          <w:trHeight w:val="244"/>
          <w:jc w:val="center"/>
        </w:trPr>
        <w:tc>
          <w:tcPr>
            <w:tcW w:w="1848"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Severno-Banatski</w:t>
            </w:r>
          </w:p>
        </w:tc>
        <w:tc>
          <w:tcPr>
            <w:tcW w:w="1276"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0,3%</w:t>
            </w:r>
          </w:p>
        </w:tc>
        <w:tc>
          <w:tcPr>
            <w:tcW w:w="776" w:type="dxa"/>
            <w:tcBorders>
              <w:top w:val="single" w:sz="4" w:space="0" w:color="auto"/>
            </w:tcBorders>
            <w:shd w:val="clear" w:color="auto" w:fill="auto"/>
            <w:vAlign w:val="bottom"/>
            <w:hideMark/>
          </w:tcPr>
          <w:p w:rsidR="003B1322" w:rsidRPr="00FF17EC" w:rsidRDefault="003B1322">
            <w:pPr>
              <w:keepNext/>
              <w:keepLines/>
              <w:spacing w:after="0" w:line="240" w:lineRule="auto"/>
              <w:jc w:val="right"/>
              <w:rPr>
                <w:lang w:val="it-IT" w:eastAsia="it-IT"/>
              </w:rPr>
            </w:pPr>
          </w:p>
        </w:tc>
        <w:tc>
          <w:tcPr>
            <w:tcW w:w="896"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134"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276" w:type="dxa"/>
            <w:tcBorders>
              <w:top w:val="single" w:sz="4" w:space="0" w:color="auto"/>
            </w:tcBorders>
            <w:vAlign w:val="bottom"/>
          </w:tcPr>
          <w:p w:rsidR="00A42F79" w:rsidRPr="00FF17EC" w:rsidRDefault="00A42F79" w:rsidP="00D25AA5">
            <w:pPr>
              <w:keepNext/>
              <w:keepLines/>
              <w:spacing w:after="0" w:line="240" w:lineRule="auto"/>
              <w:jc w:val="right"/>
              <w:rPr>
                <w:lang w:val="it-IT" w:eastAsia="it-IT"/>
              </w:rPr>
            </w:pPr>
            <w:r w:rsidRPr="00FF17EC">
              <w:t>2,9%</w:t>
            </w:r>
          </w:p>
        </w:tc>
        <w:tc>
          <w:tcPr>
            <w:tcW w:w="1276" w:type="dxa"/>
            <w:tcBorders>
              <w:top w:val="single" w:sz="4" w:space="0" w:color="auto"/>
            </w:tcBorders>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42,1%</w:t>
            </w:r>
          </w:p>
        </w:tc>
      </w:tr>
      <w:tr w:rsidR="00A42F79" w:rsidRPr="00FF17EC" w:rsidTr="00A42F79">
        <w:trPr>
          <w:trHeight w:val="233"/>
          <w:jc w:val="center"/>
        </w:trPr>
        <w:tc>
          <w:tcPr>
            <w:tcW w:w="1848"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Srednje-Banatski</w:t>
            </w:r>
          </w:p>
        </w:tc>
        <w:tc>
          <w:tcPr>
            <w:tcW w:w="1276" w:type="dxa"/>
            <w:shd w:val="clear" w:color="auto" w:fill="auto"/>
            <w:vAlign w:val="bottom"/>
            <w:hideMark/>
          </w:tcPr>
          <w:p w:rsidR="003B1322" w:rsidRPr="00FF17EC" w:rsidRDefault="00A42F79" w:rsidP="003A35C4">
            <w:pPr>
              <w:keepNext/>
              <w:keepLines/>
              <w:spacing w:after="0" w:line="240" w:lineRule="auto"/>
              <w:jc w:val="right"/>
              <w:rPr>
                <w:lang w:val="it-IT" w:eastAsia="it-IT"/>
              </w:rPr>
            </w:pPr>
            <w:r w:rsidRPr="00FF17EC">
              <w:rPr>
                <w:lang w:val="it-IT" w:eastAsia="it-IT"/>
              </w:rPr>
              <w:t>2,</w:t>
            </w:r>
            <w:r w:rsidR="003A35C4" w:rsidRPr="00FF17EC">
              <w:rPr>
                <w:lang w:val="it-IT" w:eastAsia="it-IT"/>
              </w:rPr>
              <w:t>4</w:t>
            </w:r>
            <w:r w:rsidRPr="00FF17EC">
              <w:rPr>
                <w:lang w:val="it-IT" w:eastAsia="it-IT"/>
              </w:rPr>
              <w:t>%</w:t>
            </w:r>
          </w:p>
        </w:tc>
        <w:tc>
          <w:tcPr>
            <w:tcW w:w="776" w:type="dxa"/>
            <w:shd w:val="clear" w:color="auto" w:fill="auto"/>
            <w:vAlign w:val="bottom"/>
            <w:hideMark/>
          </w:tcPr>
          <w:p w:rsidR="003B1322" w:rsidRPr="00FF17EC" w:rsidRDefault="003B1322">
            <w:pPr>
              <w:keepNext/>
              <w:keepLines/>
              <w:spacing w:after="0" w:line="240" w:lineRule="auto"/>
              <w:jc w:val="right"/>
              <w:rPr>
                <w:lang w:val="it-IT" w:eastAsia="it-IT"/>
              </w:rPr>
            </w:pPr>
          </w:p>
        </w:tc>
        <w:tc>
          <w:tcPr>
            <w:tcW w:w="89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134"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276" w:type="dxa"/>
            <w:vAlign w:val="bottom"/>
          </w:tcPr>
          <w:p w:rsidR="00A42F79" w:rsidRPr="00FF17EC" w:rsidRDefault="00A42F79" w:rsidP="00D25AA5">
            <w:pPr>
              <w:keepNext/>
              <w:keepLines/>
              <w:spacing w:after="0" w:line="240" w:lineRule="auto"/>
              <w:jc w:val="right"/>
              <w:rPr>
                <w:lang w:val="it-IT" w:eastAsia="it-IT"/>
              </w:rPr>
            </w:pPr>
            <w:r w:rsidRPr="00FF17EC">
              <w:t>3,5%</w:t>
            </w:r>
          </w:p>
        </w:tc>
        <w:tc>
          <w:tcPr>
            <w:tcW w:w="12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11,3%</w:t>
            </w:r>
          </w:p>
        </w:tc>
      </w:tr>
      <w:tr w:rsidR="00A42F79" w:rsidRPr="00FF17EC" w:rsidTr="00A42F79">
        <w:trPr>
          <w:trHeight w:val="96"/>
          <w:jc w:val="center"/>
        </w:trPr>
        <w:tc>
          <w:tcPr>
            <w:tcW w:w="1848"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Južno-Banatski</w:t>
            </w:r>
          </w:p>
        </w:tc>
        <w:tc>
          <w:tcPr>
            <w:tcW w:w="1276" w:type="dxa"/>
            <w:shd w:val="clear" w:color="auto" w:fill="auto"/>
            <w:vAlign w:val="bottom"/>
            <w:hideMark/>
          </w:tcPr>
          <w:p w:rsidR="003B1322" w:rsidRPr="00FF17EC" w:rsidRDefault="003A35C4" w:rsidP="003A35C4">
            <w:pPr>
              <w:keepNext/>
              <w:keepLines/>
              <w:spacing w:after="0" w:line="240" w:lineRule="auto"/>
              <w:jc w:val="right"/>
              <w:rPr>
                <w:lang w:val="it-IT" w:eastAsia="it-IT"/>
              </w:rPr>
            </w:pPr>
            <w:r w:rsidRPr="00FF17EC">
              <w:rPr>
                <w:lang w:val="it-IT" w:eastAsia="it-IT"/>
              </w:rPr>
              <w:t>6</w:t>
            </w:r>
            <w:r w:rsidR="00A42F79" w:rsidRPr="00FF17EC">
              <w:rPr>
                <w:lang w:val="it-IT" w:eastAsia="it-IT"/>
              </w:rPr>
              <w:t>,</w:t>
            </w:r>
            <w:r w:rsidRPr="00FF17EC">
              <w:rPr>
                <w:lang w:val="it-IT" w:eastAsia="it-IT"/>
              </w:rPr>
              <w:t>1</w:t>
            </w:r>
            <w:r w:rsidR="00A42F79" w:rsidRPr="00FF17EC">
              <w:rPr>
                <w:lang w:val="it-IT" w:eastAsia="it-IT"/>
              </w:rPr>
              <w:t>%</w:t>
            </w:r>
          </w:p>
        </w:tc>
        <w:tc>
          <w:tcPr>
            <w:tcW w:w="776" w:type="dxa"/>
            <w:shd w:val="clear" w:color="auto" w:fill="auto"/>
            <w:vAlign w:val="bottom"/>
            <w:hideMark/>
          </w:tcPr>
          <w:p w:rsidR="003B1322" w:rsidRPr="00FF17EC" w:rsidRDefault="003B1322">
            <w:pPr>
              <w:keepNext/>
              <w:keepLines/>
              <w:spacing w:after="0" w:line="240" w:lineRule="auto"/>
              <w:jc w:val="right"/>
              <w:rPr>
                <w:lang w:val="it-IT" w:eastAsia="it-IT"/>
              </w:rPr>
            </w:pPr>
          </w:p>
        </w:tc>
        <w:tc>
          <w:tcPr>
            <w:tcW w:w="89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134"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276" w:type="dxa"/>
            <w:vAlign w:val="bottom"/>
          </w:tcPr>
          <w:p w:rsidR="00A42F79" w:rsidRPr="00FF17EC" w:rsidRDefault="00A42F79" w:rsidP="00D25AA5">
            <w:pPr>
              <w:keepNext/>
              <w:keepLines/>
              <w:spacing w:after="0" w:line="240" w:lineRule="auto"/>
              <w:jc w:val="right"/>
              <w:rPr>
                <w:lang w:val="it-IT" w:eastAsia="it-IT"/>
              </w:rPr>
            </w:pPr>
            <w:r w:rsidRPr="00FF17EC">
              <w:t>2,0%</w:t>
            </w:r>
          </w:p>
        </w:tc>
        <w:tc>
          <w:tcPr>
            <w:tcW w:w="12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4,2%</w:t>
            </w:r>
          </w:p>
        </w:tc>
      </w:tr>
      <w:tr w:rsidR="00E21577" w:rsidRPr="00FF17EC" w:rsidTr="00A42F79">
        <w:trPr>
          <w:trHeight w:val="300"/>
          <w:jc w:val="center"/>
        </w:trPr>
        <w:tc>
          <w:tcPr>
            <w:tcW w:w="1848" w:type="dxa"/>
            <w:shd w:val="clear" w:color="auto" w:fill="auto"/>
            <w:vAlign w:val="bottom"/>
          </w:tcPr>
          <w:p w:rsidR="00E21577" w:rsidRPr="00FF17EC" w:rsidRDefault="00E21577">
            <w:pPr>
              <w:keepNext/>
              <w:keepLines/>
              <w:spacing w:after="0" w:line="240" w:lineRule="auto"/>
              <w:jc w:val="right"/>
              <w:rPr>
                <w:lang w:val="it-IT" w:eastAsia="it-IT"/>
              </w:rPr>
            </w:pPr>
            <w:r w:rsidRPr="00FF17EC">
              <w:rPr>
                <w:lang w:val="it-IT" w:eastAsia="it-IT"/>
              </w:rPr>
              <w:t>Podunavski</w:t>
            </w:r>
          </w:p>
        </w:tc>
        <w:tc>
          <w:tcPr>
            <w:tcW w:w="1276" w:type="dxa"/>
            <w:shd w:val="clear" w:color="auto" w:fill="auto"/>
            <w:vAlign w:val="bottom"/>
          </w:tcPr>
          <w:p w:rsidR="00E21577" w:rsidRPr="00FF17EC" w:rsidRDefault="003A35C4">
            <w:pPr>
              <w:keepNext/>
              <w:keepLines/>
              <w:spacing w:after="0" w:line="240" w:lineRule="auto"/>
              <w:jc w:val="right"/>
              <w:rPr>
                <w:lang w:val="it-IT" w:eastAsia="it-IT"/>
              </w:rPr>
            </w:pPr>
            <w:r w:rsidRPr="00FF17EC">
              <w:rPr>
                <w:lang w:val="it-IT" w:eastAsia="it-IT"/>
              </w:rPr>
              <w:t>0,0%</w:t>
            </w:r>
          </w:p>
        </w:tc>
        <w:tc>
          <w:tcPr>
            <w:tcW w:w="776" w:type="dxa"/>
            <w:shd w:val="clear" w:color="auto" w:fill="auto"/>
            <w:vAlign w:val="bottom"/>
          </w:tcPr>
          <w:p w:rsidR="00E21577" w:rsidRPr="00FF17EC" w:rsidRDefault="003A35C4">
            <w:pPr>
              <w:keepNext/>
              <w:keepLines/>
              <w:spacing w:after="0" w:line="240" w:lineRule="auto"/>
              <w:jc w:val="right"/>
              <w:rPr>
                <w:lang w:val="it-IT" w:eastAsia="it-IT"/>
              </w:rPr>
            </w:pPr>
            <w:r w:rsidRPr="00FF17EC">
              <w:rPr>
                <w:lang w:val="it-IT" w:eastAsia="it-IT"/>
              </w:rPr>
              <w:t>0,0%</w:t>
            </w:r>
          </w:p>
        </w:tc>
        <w:tc>
          <w:tcPr>
            <w:tcW w:w="896" w:type="dxa"/>
            <w:shd w:val="clear" w:color="auto" w:fill="auto"/>
            <w:vAlign w:val="bottom"/>
          </w:tcPr>
          <w:p w:rsidR="00E21577" w:rsidRPr="00FF17EC" w:rsidRDefault="00E21577">
            <w:pPr>
              <w:keepNext/>
              <w:keepLines/>
              <w:spacing w:after="0" w:line="240" w:lineRule="auto"/>
              <w:jc w:val="right"/>
              <w:rPr>
                <w:lang w:val="it-IT" w:eastAsia="it-IT"/>
              </w:rPr>
            </w:pPr>
          </w:p>
        </w:tc>
        <w:tc>
          <w:tcPr>
            <w:tcW w:w="1134" w:type="dxa"/>
            <w:shd w:val="clear" w:color="auto" w:fill="auto"/>
            <w:vAlign w:val="bottom"/>
          </w:tcPr>
          <w:p w:rsidR="00E21577" w:rsidRPr="00FF17EC" w:rsidRDefault="00E21577">
            <w:pPr>
              <w:keepNext/>
              <w:keepLines/>
              <w:spacing w:after="0" w:line="240" w:lineRule="auto"/>
              <w:jc w:val="right"/>
              <w:rPr>
                <w:lang w:val="it-IT" w:eastAsia="it-IT"/>
              </w:rPr>
            </w:pPr>
          </w:p>
        </w:tc>
        <w:tc>
          <w:tcPr>
            <w:tcW w:w="1276" w:type="dxa"/>
            <w:vAlign w:val="bottom"/>
          </w:tcPr>
          <w:p w:rsidR="00E21577" w:rsidRPr="00FF17EC" w:rsidRDefault="003A35C4" w:rsidP="00D25AA5">
            <w:pPr>
              <w:keepNext/>
              <w:keepLines/>
              <w:spacing w:after="0" w:line="240" w:lineRule="auto"/>
              <w:jc w:val="right"/>
            </w:pPr>
            <w:r w:rsidRPr="00FF17EC">
              <w:t>1,6%</w:t>
            </w:r>
          </w:p>
        </w:tc>
        <w:tc>
          <w:tcPr>
            <w:tcW w:w="1276" w:type="dxa"/>
            <w:shd w:val="clear" w:color="auto" w:fill="auto"/>
            <w:vAlign w:val="bottom"/>
          </w:tcPr>
          <w:p w:rsidR="00E21577" w:rsidRPr="00FF17EC" w:rsidRDefault="003A35C4">
            <w:pPr>
              <w:keepNext/>
              <w:keepLines/>
              <w:spacing w:after="0" w:line="240" w:lineRule="auto"/>
              <w:jc w:val="right"/>
              <w:rPr>
                <w:lang w:val="it-IT" w:eastAsia="it-IT"/>
              </w:rPr>
            </w:pPr>
            <w:r w:rsidRPr="00FF17EC">
              <w:rPr>
                <w:lang w:val="it-IT" w:eastAsia="it-IT"/>
              </w:rPr>
              <w:t>0,0%</w:t>
            </w:r>
          </w:p>
        </w:tc>
      </w:tr>
      <w:tr w:rsidR="00A42F79" w:rsidRPr="00FF17EC" w:rsidTr="00A42F79">
        <w:trPr>
          <w:trHeight w:val="300"/>
          <w:jc w:val="center"/>
        </w:trPr>
        <w:tc>
          <w:tcPr>
            <w:tcW w:w="1848"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Braničevski</w:t>
            </w:r>
          </w:p>
        </w:tc>
        <w:tc>
          <w:tcPr>
            <w:tcW w:w="12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0,4%</w:t>
            </w:r>
          </w:p>
        </w:tc>
        <w:tc>
          <w:tcPr>
            <w:tcW w:w="776" w:type="dxa"/>
            <w:shd w:val="clear" w:color="auto" w:fill="auto"/>
            <w:vAlign w:val="bottom"/>
            <w:hideMark/>
          </w:tcPr>
          <w:p w:rsidR="003B1322" w:rsidRPr="00FF17EC" w:rsidRDefault="003A35C4" w:rsidP="003A35C4">
            <w:pPr>
              <w:keepNext/>
              <w:keepLines/>
              <w:spacing w:after="0" w:line="240" w:lineRule="auto"/>
              <w:jc w:val="right"/>
              <w:rPr>
                <w:lang w:val="it-IT" w:eastAsia="it-IT"/>
              </w:rPr>
            </w:pPr>
            <w:r w:rsidRPr="00FF17EC">
              <w:rPr>
                <w:lang w:val="it-IT" w:eastAsia="it-IT"/>
              </w:rPr>
              <w:t>7</w:t>
            </w:r>
            <w:r w:rsidR="00A42F79" w:rsidRPr="00FF17EC">
              <w:rPr>
                <w:lang w:val="it-IT" w:eastAsia="it-IT"/>
              </w:rPr>
              <w:t>,</w:t>
            </w:r>
            <w:r w:rsidRPr="00FF17EC">
              <w:rPr>
                <w:lang w:val="it-IT" w:eastAsia="it-IT"/>
              </w:rPr>
              <w:t>2</w:t>
            </w:r>
            <w:r w:rsidR="00A42F79" w:rsidRPr="00FF17EC">
              <w:rPr>
                <w:lang w:val="it-IT" w:eastAsia="it-IT"/>
              </w:rPr>
              <w:t>%</w:t>
            </w:r>
          </w:p>
        </w:tc>
        <w:tc>
          <w:tcPr>
            <w:tcW w:w="89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134"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276" w:type="dxa"/>
            <w:vAlign w:val="bottom"/>
          </w:tcPr>
          <w:p w:rsidR="00A42F79" w:rsidRPr="00FF17EC" w:rsidRDefault="00A42F79" w:rsidP="00D25AA5">
            <w:pPr>
              <w:keepNext/>
              <w:keepLines/>
              <w:spacing w:after="0" w:line="240" w:lineRule="auto"/>
              <w:jc w:val="right"/>
              <w:rPr>
                <w:lang w:val="it-IT" w:eastAsia="it-IT"/>
              </w:rPr>
            </w:pPr>
            <w:r w:rsidRPr="00FF17EC">
              <w:t>1,6%</w:t>
            </w:r>
          </w:p>
        </w:tc>
        <w:tc>
          <w:tcPr>
            <w:tcW w:w="12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0,1%</w:t>
            </w:r>
          </w:p>
        </w:tc>
      </w:tr>
      <w:tr w:rsidR="00A42F79" w:rsidRPr="00FF17EC" w:rsidTr="00A42F79">
        <w:trPr>
          <w:trHeight w:val="300"/>
          <w:jc w:val="center"/>
        </w:trPr>
        <w:tc>
          <w:tcPr>
            <w:tcW w:w="1848"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Borski</w:t>
            </w:r>
          </w:p>
        </w:tc>
        <w:tc>
          <w:tcPr>
            <w:tcW w:w="1276" w:type="dxa"/>
            <w:shd w:val="clear" w:color="auto" w:fill="auto"/>
            <w:vAlign w:val="bottom"/>
            <w:hideMark/>
          </w:tcPr>
          <w:p w:rsidR="003B1322" w:rsidRPr="00FF17EC" w:rsidRDefault="00A42F79" w:rsidP="003A35C4">
            <w:pPr>
              <w:keepNext/>
              <w:keepLines/>
              <w:spacing w:after="0" w:line="240" w:lineRule="auto"/>
              <w:jc w:val="right"/>
              <w:rPr>
                <w:lang w:val="it-IT" w:eastAsia="it-IT"/>
              </w:rPr>
            </w:pPr>
            <w:r w:rsidRPr="00FF17EC">
              <w:rPr>
                <w:lang w:val="it-IT" w:eastAsia="it-IT"/>
              </w:rPr>
              <w:t>0,</w:t>
            </w:r>
            <w:r w:rsidR="003A35C4" w:rsidRPr="00FF17EC">
              <w:rPr>
                <w:lang w:val="it-IT" w:eastAsia="it-IT"/>
              </w:rPr>
              <w:t>6</w:t>
            </w:r>
            <w:r w:rsidRPr="00FF17EC">
              <w:rPr>
                <w:lang w:val="it-IT" w:eastAsia="it-IT"/>
              </w:rPr>
              <w:t>%</w:t>
            </w:r>
          </w:p>
        </w:tc>
        <w:tc>
          <w:tcPr>
            <w:tcW w:w="776" w:type="dxa"/>
            <w:shd w:val="clear" w:color="auto" w:fill="auto"/>
            <w:vAlign w:val="bottom"/>
            <w:hideMark/>
          </w:tcPr>
          <w:p w:rsidR="003B1322" w:rsidRPr="00FF17EC" w:rsidRDefault="003A35C4" w:rsidP="003A35C4">
            <w:pPr>
              <w:keepNext/>
              <w:keepLines/>
              <w:spacing w:after="0" w:line="240" w:lineRule="auto"/>
              <w:jc w:val="right"/>
              <w:rPr>
                <w:lang w:val="it-IT" w:eastAsia="it-IT"/>
              </w:rPr>
            </w:pPr>
            <w:r w:rsidRPr="00FF17EC">
              <w:rPr>
                <w:lang w:val="it-IT" w:eastAsia="it-IT"/>
              </w:rPr>
              <w:t>10</w:t>
            </w:r>
            <w:r w:rsidR="00A42F79" w:rsidRPr="00FF17EC">
              <w:rPr>
                <w:lang w:val="it-IT" w:eastAsia="it-IT"/>
              </w:rPr>
              <w:t>,</w:t>
            </w:r>
            <w:r w:rsidRPr="00FF17EC">
              <w:rPr>
                <w:lang w:val="it-IT" w:eastAsia="it-IT"/>
              </w:rPr>
              <w:t>7</w:t>
            </w:r>
            <w:r w:rsidR="00A42F79" w:rsidRPr="00FF17EC">
              <w:rPr>
                <w:lang w:val="it-IT" w:eastAsia="it-IT"/>
              </w:rPr>
              <w:t>%</w:t>
            </w:r>
          </w:p>
        </w:tc>
        <w:tc>
          <w:tcPr>
            <w:tcW w:w="89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134"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 </w:t>
            </w:r>
          </w:p>
        </w:tc>
        <w:tc>
          <w:tcPr>
            <w:tcW w:w="1276" w:type="dxa"/>
            <w:vAlign w:val="bottom"/>
          </w:tcPr>
          <w:p w:rsidR="00A42F79" w:rsidRPr="00FF17EC" w:rsidRDefault="00A42F79" w:rsidP="00D25AA5">
            <w:pPr>
              <w:keepNext/>
              <w:keepLines/>
              <w:spacing w:after="0" w:line="240" w:lineRule="auto"/>
              <w:jc w:val="right"/>
              <w:rPr>
                <w:lang w:val="it-IT" w:eastAsia="it-IT"/>
              </w:rPr>
            </w:pPr>
            <w:r w:rsidRPr="00FF17EC">
              <w:t>1,0%</w:t>
            </w:r>
          </w:p>
        </w:tc>
        <w:tc>
          <w:tcPr>
            <w:tcW w:w="1276" w:type="dxa"/>
            <w:shd w:val="clear" w:color="auto" w:fill="auto"/>
            <w:vAlign w:val="bottom"/>
            <w:hideMark/>
          </w:tcPr>
          <w:p w:rsidR="003B1322" w:rsidRPr="00FF17EC" w:rsidRDefault="00A42F79">
            <w:pPr>
              <w:keepNext/>
              <w:keepLines/>
              <w:spacing w:after="0" w:line="240" w:lineRule="auto"/>
              <w:jc w:val="right"/>
              <w:rPr>
                <w:lang w:val="it-IT" w:eastAsia="it-IT"/>
              </w:rPr>
            </w:pPr>
            <w:r w:rsidRPr="00FF17EC">
              <w:rPr>
                <w:lang w:val="it-IT" w:eastAsia="it-IT"/>
              </w:rPr>
              <w:t>0,0%</w:t>
            </w:r>
          </w:p>
        </w:tc>
      </w:tr>
      <w:tr w:rsidR="00A42F79" w:rsidRPr="00FF17EC" w:rsidTr="00A42F79">
        <w:trPr>
          <w:trHeight w:val="170"/>
          <w:jc w:val="center"/>
        </w:trPr>
        <w:tc>
          <w:tcPr>
            <w:tcW w:w="1848" w:type="dxa"/>
            <w:tcBorders>
              <w:bottom w:val="single" w:sz="4" w:space="0" w:color="auto"/>
            </w:tcBorders>
            <w:shd w:val="clear" w:color="auto" w:fill="auto"/>
            <w:vAlign w:val="bottom"/>
            <w:hideMark/>
          </w:tcPr>
          <w:p w:rsidR="003B1322" w:rsidRPr="00FF17EC" w:rsidRDefault="00077B35">
            <w:pPr>
              <w:keepNext/>
              <w:keepLines/>
              <w:jc w:val="right"/>
              <w:rPr>
                <w:b/>
                <w:lang w:val="it-IT" w:eastAsia="it-IT"/>
              </w:rPr>
            </w:pPr>
            <w:r w:rsidRPr="00FF17EC">
              <w:rPr>
                <w:b/>
                <w:lang w:val="it-IT" w:eastAsia="it-IT"/>
              </w:rPr>
              <w:t>SERBIA</w:t>
            </w:r>
          </w:p>
        </w:tc>
        <w:tc>
          <w:tcPr>
            <w:tcW w:w="1276" w:type="dxa"/>
            <w:tcBorders>
              <w:bottom w:val="single" w:sz="4" w:space="0" w:color="auto"/>
            </w:tcBorders>
            <w:shd w:val="clear" w:color="auto" w:fill="auto"/>
            <w:vAlign w:val="bottom"/>
            <w:hideMark/>
          </w:tcPr>
          <w:p w:rsidR="003B1322" w:rsidRPr="00FF17EC" w:rsidRDefault="00077B35">
            <w:pPr>
              <w:keepNext/>
              <w:keepLines/>
              <w:jc w:val="right"/>
              <w:rPr>
                <w:b/>
                <w:lang w:val="it-IT" w:eastAsia="it-IT"/>
              </w:rPr>
            </w:pPr>
            <w:r w:rsidRPr="00FF17EC">
              <w:rPr>
                <w:b/>
                <w:lang w:val="it-IT" w:eastAsia="it-IT"/>
              </w:rPr>
              <w:t>0,4%</w:t>
            </w:r>
          </w:p>
        </w:tc>
        <w:tc>
          <w:tcPr>
            <w:tcW w:w="776" w:type="dxa"/>
            <w:tcBorders>
              <w:bottom w:val="single" w:sz="4" w:space="0" w:color="auto"/>
            </w:tcBorders>
            <w:shd w:val="clear" w:color="auto" w:fill="auto"/>
            <w:vAlign w:val="bottom"/>
            <w:hideMark/>
          </w:tcPr>
          <w:p w:rsidR="003B1322" w:rsidRPr="00FF17EC" w:rsidRDefault="00077B35">
            <w:pPr>
              <w:keepNext/>
              <w:keepLines/>
              <w:jc w:val="right"/>
              <w:rPr>
                <w:b/>
                <w:lang w:val="it-IT" w:eastAsia="it-IT"/>
              </w:rPr>
            </w:pPr>
            <w:r w:rsidRPr="00FF17EC">
              <w:rPr>
                <w:b/>
                <w:lang w:val="it-IT" w:eastAsia="it-IT"/>
              </w:rPr>
              <w:t>0,5%</w:t>
            </w:r>
          </w:p>
        </w:tc>
        <w:tc>
          <w:tcPr>
            <w:tcW w:w="896" w:type="dxa"/>
            <w:tcBorders>
              <w:bottom w:val="single" w:sz="4" w:space="0" w:color="auto"/>
            </w:tcBorders>
            <w:shd w:val="clear" w:color="auto" w:fill="auto"/>
            <w:vAlign w:val="bottom"/>
            <w:hideMark/>
          </w:tcPr>
          <w:p w:rsidR="003B1322" w:rsidRPr="00FF17EC" w:rsidRDefault="00077B35">
            <w:pPr>
              <w:keepNext/>
              <w:keepLines/>
              <w:jc w:val="right"/>
              <w:rPr>
                <w:b/>
                <w:lang w:val="it-IT" w:eastAsia="it-IT"/>
              </w:rPr>
            </w:pPr>
            <w:r w:rsidRPr="00FF17EC">
              <w:rPr>
                <w:b/>
                <w:lang w:val="it-IT" w:eastAsia="it-IT"/>
              </w:rPr>
              <w:t> </w:t>
            </w:r>
          </w:p>
        </w:tc>
        <w:tc>
          <w:tcPr>
            <w:tcW w:w="1134" w:type="dxa"/>
            <w:tcBorders>
              <w:bottom w:val="single" w:sz="4" w:space="0" w:color="auto"/>
            </w:tcBorders>
            <w:shd w:val="clear" w:color="auto" w:fill="auto"/>
            <w:vAlign w:val="bottom"/>
            <w:hideMark/>
          </w:tcPr>
          <w:p w:rsidR="003B1322" w:rsidRPr="00FF17EC" w:rsidRDefault="00077B35">
            <w:pPr>
              <w:keepNext/>
              <w:keepLines/>
              <w:jc w:val="right"/>
              <w:rPr>
                <w:b/>
                <w:lang w:val="it-IT" w:eastAsia="it-IT"/>
              </w:rPr>
            </w:pPr>
            <w:r w:rsidRPr="00FF17EC">
              <w:rPr>
                <w:b/>
                <w:lang w:val="it-IT" w:eastAsia="it-IT"/>
              </w:rPr>
              <w:t> </w:t>
            </w:r>
          </w:p>
        </w:tc>
        <w:tc>
          <w:tcPr>
            <w:tcW w:w="1276" w:type="dxa"/>
            <w:tcBorders>
              <w:bottom w:val="single" w:sz="4" w:space="0" w:color="auto"/>
            </w:tcBorders>
            <w:vAlign w:val="bottom"/>
          </w:tcPr>
          <w:p w:rsidR="00A42F79" w:rsidRPr="00FF17EC" w:rsidRDefault="00A42F79" w:rsidP="00D25AA5">
            <w:pPr>
              <w:keepNext/>
              <w:keepLines/>
              <w:jc w:val="right"/>
              <w:rPr>
                <w:b/>
                <w:lang w:val="it-IT" w:eastAsia="it-IT"/>
              </w:rPr>
            </w:pPr>
            <w:r w:rsidRPr="00FF17EC">
              <w:t>2,0%</w:t>
            </w:r>
          </w:p>
        </w:tc>
        <w:tc>
          <w:tcPr>
            <w:tcW w:w="1276" w:type="dxa"/>
            <w:tcBorders>
              <w:bottom w:val="single" w:sz="4" w:space="0" w:color="auto"/>
            </w:tcBorders>
            <w:shd w:val="clear" w:color="auto" w:fill="auto"/>
            <w:vAlign w:val="bottom"/>
            <w:hideMark/>
          </w:tcPr>
          <w:p w:rsidR="003B1322" w:rsidRPr="00FF17EC" w:rsidRDefault="00077B35">
            <w:pPr>
              <w:keepNext/>
              <w:keepLines/>
              <w:jc w:val="right"/>
              <w:rPr>
                <w:b/>
                <w:lang w:val="it-IT" w:eastAsia="it-IT"/>
              </w:rPr>
            </w:pPr>
            <w:r w:rsidRPr="00FF17EC">
              <w:rPr>
                <w:b/>
                <w:lang w:val="it-IT" w:eastAsia="it-IT"/>
              </w:rPr>
              <w:t>3,4%</w:t>
            </w:r>
          </w:p>
        </w:tc>
      </w:tr>
    </w:tbl>
    <w:p w:rsidR="00D576A3" w:rsidRPr="00FF17EC" w:rsidRDefault="00D576A3" w:rsidP="00886CA6">
      <w:pPr>
        <w:pStyle w:val="Caption"/>
        <w:jc w:val="center"/>
        <w:rPr>
          <w:rFonts w:cs="Times New Roman"/>
          <w:color w:val="000000"/>
          <w:lang w:val="en-US" w:eastAsia="it-IT"/>
        </w:rPr>
      </w:pPr>
      <w:r w:rsidRPr="00FF17EC">
        <w:rPr>
          <w:lang w:val="en-US"/>
        </w:rPr>
        <w:t xml:space="preserve">Table </w:t>
      </w:r>
      <w:r w:rsidR="00085686" w:rsidRPr="00FF17EC">
        <w:rPr>
          <w:lang w:val="en-US"/>
        </w:rPr>
        <w:fldChar w:fldCharType="begin"/>
      </w:r>
      <w:r w:rsidR="005C4AE7" w:rsidRPr="00FF17EC">
        <w:rPr>
          <w:lang w:val="en-US"/>
        </w:rPr>
        <w:instrText xml:space="preserve"> STYLEREF 1 \s </w:instrText>
      </w:r>
      <w:r w:rsidR="00085686" w:rsidRPr="00FF17EC">
        <w:rPr>
          <w:lang w:val="en-US"/>
        </w:rPr>
        <w:fldChar w:fldCharType="separate"/>
      </w:r>
      <w:r w:rsidR="009737E5">
        <w:rPr>
          <w:noProof/>
          <w:lang w:val="en-US"/>
        </w:rPr>
        <w:t>3</w:t>
      </w:r>
      <w:r w:rsidR="00085686" w:rsidRPr="00FF17EC">
        <w:rPr>
          <w:lang w:val="en-US"/>
        </w:rPr>
        <w:fldChar w:fldCharType="end"/>
      </w:r>
      <w:r w:rsidR="005C4AE7" w:rsidRPr="00FF17EC">
        <w:rPr>
          <w:lang w:val="en-US"/>
        </w:rPr>
        <w:noBreakHyphen/>
      </w:r>
      <w:r w:rsidR="00085686" w:rsidRPr="00FF17EC">
        <w:rPr>
          <w:lang w:val="en-US"/>
        </w:rPr>
        <w:fldChar w:fldCharType="begin"/>
      </w:r>
      <w:r w:rsidR="005C4AE7" w:rsidRPr="00FF17EC">
        <w:rPr>
          <w:lang w:val="en-US"/>
        </w:rPr>
        <w:instrText xml:space="preserve"> SEQ Table \* ARABIC \s 1 </w:instrText>
      </w:r>
      <w:r w:rsidR="00085686" w:rsidRPr="00FF17EC">
        <w:rPr>
          <w:lang w:val="en-US"/>
        </w:rPr>
        <w:fldChar w:fldCharType="separate"/>
      </w:r>
      <w:r w:rsidR="009737E5">
        <w:rPr>
          <w:noProof/>
          <w:lang w:val="en-US"/>
        </w:rPr>
        <w:t>2</w:t>
      </w:r>
      <w:r w:rsidR="00085686" w:rsidRPr="00FF17EC">
        <w:rPr>
          <w:lang w:val="en-US"/>
        </w:rPr>
        <w:fldChar w:fldCharType="end"/>
      </w:r>
      <w:r w:rsidR="00F21D79" w:rsidRPr="00FF17EC">
        <w:rPr>
          <w:lang w:val="en-US"/>
        </w:rPr>
        <w:t xml:space="preserve"> </w:t>
      </w:r>
      <w:r w:rsidR="00886CA6" w:rsidRPr="00FF17EC">
        <w:rPr>
          <w:lang w:val="en-US"/>
        </w:rPr>
        <w:t xml:space="preserve">Main </w:t>
      </w:r>
      <w:r w:rsidRPr="00FF17EC">
        <w:rPr>
          <w:rFonts w:cs="Times New Roman"/>
          <w:color w:val="000000"/>
          <w:lang w:val="en-US" w:eastAsia="it-IT"/>
        </w:rPr>
        <w:t>Ethnic groups</w:t>
      </w:r>
      <w:r w:rsidR="006E7763" w:rsidRPr="00FF17EC">
        <w:rPr>
          <w:rFonts w:cs="Times New Roman"/>
          <w:color w:val="000000"/>
          <w:lang w:val="en-US" w:eastAsia="it-IT"/>
        </w:rPr>
        <w:t>.</w:t>
      </w:r>
      <w:r w:rsidRPr="00FF17EC">
        <w:rPr>
          <w:rFonts w:cs="Times New Roman"/>
          <w:color w:val="000000"/>
          <w:lang w:val="en-US" w:eastAsia="it-IT"/>
        </w:rPr>
        <w:t xml:space="preserve"> </w:t>
      </w:r>
      <w:r w:rsidR="006E7763" w:rsidRPr="00FF17EC">
        <w:rPr>
          <w:rFonts w:cs="Times New Roman"/>
          <w:color w:val="000000"/>
          <w:lang w:val="en-US" w:eastAsia="it-IT"/>
        </w:rPr>
        <w:t>P</w:t>
      </w:r>
      <w:r w:rsidRPr="00FF17EC">
        <w:rPr>
          <w:rFonts w:cs="Times New Roman"/>
          <w:color w:val="000000"/>
          <w:lang w:val="en-US" w:eastAsia="it-IT"/>
        </w:rPr>
        <w:t>ercentage on total population</w:t>
      </w:r>
    </w:p>
    <w:p w:rsidR="00BD7AF9" w:rsidRPr="00FF17EC" w:rsidRDefault="005619CD" w:rsidP="00766BB2">
      <w:r w:rsidRPr="00FF17EC">
        <w:t>I</w:t>
      </w:r>
      <w:r w:rsidR="00141C11" w:rsidRPr="00FF17EC">
        <w:t>n the middle of the last decade, as a result of the past conflicts in the Former-Yugos</w:t>
      </w:r>
      <w:r w:rsidR="005D3D68" w:rsidRPr="00FF17EC">
        <w:t>lav Republic, all districts had</w:t>
      </w:r>
      <w:r w:rsidR="00141C11" w:rsidRPr="00FF17EC">
        <w:t xml:space="preserve"> a significant population of refugees (from Croatia and Bosnia and Herzegovina) and </w:t>
      </w:r>
      <w:r w:rsidR="005555DF" w:rsidRPr="00FF17EC">
        <w:t xml:space="preserve">internally </w:t>
      </w:r>
      <w:r w:rsidR="00141C11" w:rsidRPr="00FF17EC">
        <w:t xml:space="preserve">displaced persons (from Kosovo and Metohija); this refugee population </w:t>
      </w:r>
      <w:r w:rsidR="005A107F" w:rsidRPr="00FF17EC">
        <w:t>was estimated</w:t>
      </w:r>
      <w:r w:rsidR="00141C11" w:rsidRPr="00FF17EC">
        <w:t xml:space="preserve"> at 5% of the total population</w:t>
      </w:r>
      <w:r w:rsidR="00734927" w:rsidRPr="00FF17EC">
        <w:t xml:space="preserve">, in the following years this percentage declined, </w:t>
      </w:r>
      <w:r w:rsidR="006E7763" w:rsidRPr="00FF17EC">
        <w:t>leading the population structure closer to that observed before the crisis, but there is still a</w:t>
      </w:r>
      <w:r w:rsidR="00687088" w:rsidRPr="00FF17EC">
        <w:t xml:space="preserve"> </w:t>
      </w:r>
      <w:r w:rsidR="006E7763" w:rsidRPr="00FF17EC">
        <w:t>relevant number of these refugees</w:t>
      </w:r>
      <w:r w:rsidR="005555DF" w:rsidRPr="00FF17EC">
        <w:t xml:space="preserve"> and internally displaced persons</w:t>
      </w:r>
      <w:r w:rsidR="00141C11" w:rsidRPr="00FF17EC">
        <w:t xml:space="preserve"> </w:t>
      </w:r>
      <w:r w:rsidR="005555DF" w:rsidRPr="00FF17EC">
        <w:t xml:space="preserve">living in those districts, especially in districts situated </w:t>
      </w:r>
      <w:r w:rsidR="009A1D60" w:rsidRPr="00FF17EC">
        <w:t>on</w:t>
      </w:r>
      <w:r w:rsidR="00687088" w:rsidRPr="00FF17EC">
        <w:t xml:space="preserve"> </w:t>
      </w:r>
      <w:r w:rsidR="005555DF" w:rsidRPr="00FF17EC">
        <w:t>the right bank of the Danube.</w:t>
      </w:r>
    </w:p>
    <w:p w:rsidR="007D1DDB" w:rsidRPr="00FF17EC" w:rsidRDefault="007D1DDB" w:rsidP="00766BB2">
      <w:pPr>
        <w:rPr>
          <w:color w:val="000000"/>
          <w:shd w:val="clear" w:color="auto" w:fill="FFFFFF"/>
        </w:rPr>
      </w:pPr>
    </w:p>
    <w:p w:rsidR="00396246" w:rsidRPr="00FF17EC" w:rsidRDefault="00575A2F" w:rsidP="009A1D60">
      <w:pPr>
        <w:pStyle w:val="Heading2"/>
      </w:pPr>
      <w:bookmarkStart w:id="12" w:name="_Toc378857136"/>
      <w:bookmarkStart w:id="13" w:name="_Toc383415703"/>
      <w:r w:rsidRPr="00FF17EC">
        <w:t>Demographic trends</w:t>
      </w:r>
      <w:bookmarkStart w:id="14" w:name="_Toc382757452"/>
      <w:bookmarkEnd w:id="12"/>
      <w:bookmarkEnd w:id="13"/>
      <w:bookmarkEnd w:id="14"/>
    </w:p>
    <w:p w:rsidR="00396246" w:rsidRPr="00FF17EC" w:rsidRDefault="00E2425A">
      <w:r w:rsidRPr="00FF17EC">
        <w:t>The la</w:t>
      </w:r>
      <w:r w:rsidR="007A44AE" w:rsidRPr="00FF17EC">
        <w:t xml:space="preserve">rgest part of the </w:t>
      </w:r>
      <w:r w:rsidR="001A345E" w:rsidRPr="00FF17EC">
        <w:t xml:space="preserve">eligible area </w:t>
      </w:r>
      <w:r w:rsidR="007A44AE" w:rsidRPr="00FF17EC">
        <w:t xml:space="preserve">is </w:t>
      </w:r>
      <w:r w:rsidR="008E72A4" w:rsidRPr="00FF17EC">
        <w:t>experiencing a negative</w:t>
      </w:r>
      <w:r w:rsidR="00115D59" w:rsidRPr="00FF17EC">
        <w:t xml:space="preserve"> demographic trend</w:t>
      </w:r>
      <w:r w:rsidRPr="00FF17EC">
        <w:t xml:space="preserve">, because of negative </w:t>
      </w:r>
      <w:r w:rsidR="008E72A4" w:rsidRPr="00FF17EC">
        <w:t>natural balances</w:t>
      </w:r>
      <w:r w:rsidR="00115D59" w:rsidRPr="00FF17EC">
        <w:t xml:space="preserve"> </w:t>
      </w:r>
      <w:r w:rsidR="008E72A4" w:rsidRPr="00FF17EC">
        <w:t>and migration</w:t>
      </w:r>
      <w:r w:rsidR="00115D59" w:rsidRPr="00FF17EC">
        <w:t xml:space="preserve"> flows</w:t>
      </w:r>
      <w:r w:rsidRPr="00FF17EC">
        <w:t>.</w:t>
      </w:r>
    </w:p>
    <w:p w:rsidR="00396246" w:rsidRPr="00FF17EC" w:rsidRDefault="008C1AF8">
      <w:r w:rsidRPr="00FF17EC">
        <w:lastRenderedPageBreak/>
        <w:t>Population outflows</w:t>
      </w:r>
      <w:r w:rsidR="00584457" w:rsidRPr="00FF17EC">
        <w:t xml:space="preserve"> </w:t>
      </w:r>
      <w:r w:rsidRPr="00FF17EC">
        <w:t xml:space="preserve">are directed abroad and to </w:t>
      </w:r>
      <w:r w:rsidR="00D04A86" w:rsidRPr="00FF17EC">
        <w:t>the large metropolitan centres</w:t>
      </w:r>
      <w:r w:rsidR="00314578" w:rsidRPr="00FF17EC">
        <w:t xml:space="preserve"> </w:t>
      </w:r>
      <w:r w:rsidRPr="00FF17EC">
        <w:t>located in the relative proximity or inside the area: the capital</w:t>
      </w:r>
      <w:r w:rsidR="008012F9" w:rsidRPr="00FF17EC">
        <w:t xml:space="preserve"> as well as </w:t>
      </w:r>
      <w:r w:rsidR="007A44AE" w:rsidRPr="00FF17EC">
        <w:t xml:space="preserve">Novi Sad </w:t>
      </w:r>
      <w:r w:rsidR="00314578" w:rsidRPr="00FF17EC">
        <w:t xml:space="preserve">in Serbia, </w:t>
      </w:r>
      <w:r w:rsidR="007A11B3" w:rsidRPr="00FF17EC">
        <w:t>Timiș</w:t>
      </w:r>
      <w:r w:rsidR="00314578" w:rsidRPr="00FF17EC">
        <w:t>oara</w:t>
      </w:r>
      <w:r w:rsidR="008012F9" w:rsidRPr="00FF17EC">
        <w:t>, Re</w:t>
      </w:r>
      <w:r w:rsidR="00A44CC3" w:rsidRPr="00FF17EC">
        <w:t>ș</w:t>
      </w:r>
      <w:r w:rsidR="008012F9" w:rsidRPr="00FF17EC">
        <w:t>i</w:t>
      </w:r>
      <w:r w:rsidR="00A44CC3" w:rsidRPr="00FF17EC">
        <w:t>ț</w:t>
      </w:r>
      <w:r w:rsidR="008012F9" w:rsidRPr="00FF17EC">
        <w:t xml:space="preserve">a in Romania. </w:t>
      </w:r>
    </w:p>
    <w:p w:rsidR="00D04A86" w:rsidRPr="00FF17EC" w:rsidRDefault="00694CC3" w:rsidP="00766BB2">
      <w:r w:rsidRPr="00FF17EC">
        <w:t xml:space="preserve">The </w:t>
      </w:r>
      <w:r w:rsidR="00710A00" w:rsidRPr="00FF17EC">
        <w:t>variation of</w:t>
      </w:r>
      <w:r w:rsidRPr="00FF17EC">
        <w:t xml:space="preserve"> the </w:t>
      </w:r>
      <w:r w:rsidR="00710A00" w:rsidRPr="00FF17EC">
        <w:t>population is</w:t>
      </w:r>
      <w:r w:rsidR="007A44AE" w:rsidRPr="00FF17EC">
        <w:t xml:space="preserve"> very strong, and </w:t>
      </w:r>
      <w:r w:rsidR="00141C11" w:rsidRPr="00FF17EC">
        <w:t xml:space="preserve">it is </w:t>
      </w:r>
      <w:r w:rsidRPr="00FF17EC">
        <w:t xml:space="preserve">following </w:t>
      </w:r>
      <w:r w:rsidR="00141C11" w:rsidRPr="00FF17EC">
        <w:t>distinct</w:t>
      </w:r>
      <w:r w:rsidRPr="00FF17EC">
        <w:t xml:space="preserve"> trends. The population of the whole area has been decreasing dramatically, more </w:t>
      </w:r>
      <w:r w:rsidR="00141C11" w:rsidRPr="00FF17EC">
        <w:t>than</w:t>
      </w:r>
      <w:r w:rsidRPr="00FF17EC">
        <w:t xml:space="preserve"> </w:t>
      </w:r>
      <w:r w:rsidR="009413F0" w:rsidRPr="00FF17EC">
        <w:t>10% in just 10 years (Map 3.2).</w:t>
      </w:r>
    </w:p>
    <w:p w:rsidR="009413F0" w:rsidRPr="00FF17EC" w:rsidRDefault="009413F0" w:rsidP="00766BB2">
      <w:r w:rsidRPr="00FF17EC">
        <w:t xml:space="preserve">The loss of population is not limited to the </w:t>
      </w:r>
      <w:r w:rsidR="00280835" w:rsidRPr="00FF17EC">
        <w:t>mountainous</w:t>
      </w:r>
      <w:r w:rsidR="000675B6" w:rsidRPr="00FF17EC">
        <w:t xml:space="preserve"> and more deprived </w:t>
      </w:r>
      <w:r w:rsidR="00280835" w:rsidRPr="00FF17EC">
        <w:t>area</w:t>
      </w:r>
      <w:r w:rsidR="000675B6" w:rsidRPr="00FF17EC">
        <w:t>s</w:t>
      </w:r>
      <w:r w:rsidR="009D2DA1" w:rsidRPr="00FF17EC">
        <w:t>,</w:t>
      </w:r>
      <w:r w:rsidR="00280835" w:rsidRPr="00FF17EC">
        <w:t xml:space="preserve"> </w:t>
      </w:r>
      <w:r w:rsidR="005555DF" w:rsidRPr="00FF17EC">
        <w:t>but it also</w:t>
      </w:r>
      <w:r w:rsidR="000675B6" w:rsidRPr="00FF17EC">
        <w:t xml:space="preserve"> </w:t>
      </w:r>
      <w:r w:rsidR="00710A00" w:rsidRPr="00FF17EC">
        <w:t>concerns to</w:t>
      </w:r>
      <w:r w:rsidR="00280835" w:rsidRPr="00FF17EC">
        <w:t xml:space="preserve"> the </w:t>
      </w:r>
      <w:r w:rsidR="00D04A86" w:rsidRPr="00FF17EC">
        <w:t>rural areas of the N</w:t>
      </w:r>
      <w:r w:rsidR="00064DE2" w:rsidRPr="00FF17EC">
        <w:t>orth pla</w:t>
      </w:r>
      <w:r w:rsidR="00B52331" w:rsidRPr="00FF17EC">
        <w:t>in</w:t>
      </w:r>
      <w:r w:rsidR="00064DE2" w:rsidRPr="00FF17EC">
        <w:t>s</w:t>
      </w:r>
      <w:r w:rsidRPr="00FF17EC">
        <w:t xml:space="preserve">. </w:t>
      </w:r>
    </w:p>
    <w:p w:rsidR="004421CC" w:rsidRPr="00FF17EC" w:rsidRDefault="007A44AE" w:rsidP="00766BB2">
      <w:r w:rsidRPr="00FF17EC">
        <w:t>The</w:t>
      </w:r>
      <w:r w:rsidR="009413F0" w:rsidRPr="00FF17EC">
        <w:t xml:space="preserve"> </w:t>
      </w:r>
      <w:r w:rsidR="00D04A86" w:rsidRPr="00FF17EC">
        <w:t xml:space="preserve">aggregate </w:t>
      </w:r>
      <w:r w:rsidR="009413F0" w:rsidRPr="00FF17EC">
        <w:t>trend</w:t>
      </w:r>
      <w:r w:rsidR="00D04A86" w:rsidRPr="00FF17EC">
        <w:t xml:space="preserve">s are </w:t>
      </w:r>
      <w:r w:rsidR="00280835" w:rsidRPr="00FF17EC">
        <w:t xml:space="preserve">the result of </w:t>
      </w:r>
      <w:r w:rsidR="000675B6" w:rsidRPr="00FF17EC">
        <w:t>different</w:t>
      </w:r>
      <w:r w:rsidR="009413F0" w:rsidRPr="00FF17EC">
        <w:t xml:space="preserve"> local </w:t>
      </w:r>
      <w:r w:rsidR="000675B6" w:rsidRPr="00FF17EC">
        <w:t>dynamics</w:t>
      </w:r>
      <w:r w:rsidR="009413F0" w:rsidRPr="00FF17EC">
        <w:t xml:space="preserve">. On the Serbian side of the border, </w:t>
      </w:r>
      <w:r w:rsidR="004421CC" w:rsidRPr="00FF17EC">
        <w:t xml:space="preserve">in all municipalities </w:t>
      </w:r>
      <w:r w:rsidR="00D04A86" w:rsidRPr="00FF17EC">
        <w:t xml:space="preserve">of the </w:t>
      </w:r>
      <w:r w:rsidR="004E0339" w:rsidRPr="00FF17EC">
        <w:t xml:space="preserve">eligible area </w:t>
      </w:r>
      <w:r w:rsidR="004421CC" w:rsidRPr="00FF17EC">
        <w:t>the population is declining</w:t>
      </w:r>
      <w:r w:rsidR="009D2DA1" w:rsidRPr="00FF17EC">
        <w:t>,</w:t>
      </w:r>
      <w:r w:rsidR="004421CC" w:rsidRPr="00FF17EC">
        <w:t xml:space="preserve"> in some cases at dramatic speed</w:t>
      </w:r>
      <w:r w:rsidR="009413F0" w:rsidRPr="00FF17EC">
        <w:t xml:space="preserve">, </w:t>
      </w:r>
      <w:r w:rsidR="004421CC" w:rsidRPr="00FF17EC">
        <w:t>and a few limited differences</w:t>
      </w:r>
      <w:r w:rsidR="00D04A86" w:rsidRPr="00FF17EC">
        <w:t xml:space="preserve"> can be noticed </w:t>
      </w:r>
      <w:r w:rsidR="00280835" w:rsidRPr="00FF17EC">
        <w:t>in</w:t>
      </w:r>
      <w:r w:rsidR="009413F0" w:rsidRPr="00FF17EC">
        <w:t xml:space="preserve"> the </w:t>
      </w:r>
      <w:r w:rsidR="00280835" w:rsidRPr="00FF17EC">
        <w:t>North</w:t>
      </w:r>
      <w:r w:rsidR="004421CC" w:rsidRPr="00FF17EC">
        <w:t xml:space="preserve"> Western</w:t>
      </w:r>
      <w:r w:rsidR="009413F0" w:rsidRPr="00FF17EC">
        <w:t xml:space="preserve"> ar</w:t>
      </w:r>
      <w:r w:rsidR="00280835" w:rsidRPr="00FF17EC">
        <w:t>ea</w:t>
      </w:r>
      <w:r w:rsidR="004421CC" w:rsidRPr="00FF17EC">
        <w:t>,</w:t>
      </w:r>
      <w:r w:rsidR="00280835" w:rsidRPr="00FF17EC">
        <w:t xml:space="preserve"> </w:t>
      </w:r>
      <w:r w:rsidR="004421CC" w:rsidRPr="00FF17EC">
        <w:t xml:space="preserve">where the </w:t>
      </w:r>
      <w:r w:rsidR="00280835" w:rsidRPr="00FF17EC">
        <w:t>decline</w:t>
      </w:r>
      <w:r w:rsidR="004421CC" w:rsidRPr="00FF17EC">
        <w:t xml:space="preserve"> </w:t>
      </w:r>
      <w:r w:rsidR="00D04A86" w:rsidRPr="00FF17EC">
        <w:t xml:space="preserve">has been </w:t>
      </w:r>
      <w:r w:rsidR="004421CC" w:rsidRPr="00FF17EC">
        <w:t>slower</w:t>
      </w:r>
      <w:r w:rsidR="00280835" w:rsidRPr="00FF17EC">
        <w:t>.</w:t>
      </w:r>
    </w:p>
    <w:p w:rsidR="00EE5099" w:rsidRPr="00FF17EC" w:rsidRDefault="00280835" w:rsidP="00766BB2">
      <w:r w:rsidRPr="00FF17EC">
        <w:t>In Romania, on the contrary</w:t>
      </w:r>
      <w:r w:rsidR="00064DE2" w:rsidRPr="00FF17EC">
        <w:t xml:space="preserve">, </w:t>
      </w:r>
      <w:r w:rsidRPr="00FF17EC">
        <w:t>there is an evident internal dynamic</w:t>
      </w:r>
      <w:r w:rsidR="000675B6" w:rsidRPr="00FF17EC">
        <w:t xml:space="preserve"> in the </w:t>
      </w:r>
      <w:r w:rsidR="00785FE1" w:rsidRPr="00FF17EC">
        <w:t>eligible area</w:t>
      </w:r>
      <w:r w:rsidRPr="00FF17EC">
        <w:t>,</w:t>
      </w:r>
      <w:r w:rsidR="004421CC" w:rsidRPr="00FF17EC">
        <w:t xml:space="preserve"> with som</w:t>
      </w:r>
      <w:r w:rsidRPr="00FF17EC">
        <w:t>e municipalities suffering strong losses</w:t>
      </w:r>
      <w:r w:rsidR="000675B6" w:rsidRPr="00FF17EC">
        <w:t xml:space="preserve"> of population, both because of the demographic and migratory balances</w:t>
      </w:r>
      <w:r w:rsidRPr="00FF17EC">
        <w:t>, and some</w:t>
      </w:r>
      <w:r w:rsidR="000675B6" w:rsidRPr="00FF17EC">
        <w:t xml:space="preserve"> other </w:t>
      </w:r>
      <w:r w:rsidRPr="00FF17EC">
        <w:t xml:space="preserve">municipalities reaching even positive </w:t>
      </w:r>
      <w:r w:rsidR="000675B6" w:rsidRPr="00FF17EC">
        <w:t>demographic balances</w:t>
      </w:r>
      <w:r w:rsidRPr="00FF17EC">
        <w:t xml:space="preserve">. </w:t>
      </w:r>
    </w:p>
    <w:p w:rsidR="007A44AE" w:rsidRPr="00FF17EC" w:rsidRDefault="00280835" w:rsidP="00766BB2">
      <w:r w:rsidRPr="00FF17EC">
        <w:t xml:space="preserve">This </w:t>
      </w:r>
      <w:r w:rsidR="000675B6" w:rsidRPr="00FF17EC">
        <w:t>model of structural demographic change</w:t>
      </w:r>
      <w:r w:rsidRPr="00FF17EC">
        <w:t xml:space="preserve"> </w:t>
      </w:r>
      <w:r w:rsidR="000675B6" w:rsidRPr="00FF17EC">
        <w:t xml:space="preserve">can be observed </w:t>
      </w:r>
      <w:r w:rsidRPr="00FF17EC">
        <w:t>in the area of the urban poles</w:t>
      </w:r>
      <w:r w:rsidR="00E64B78" w:rsidRPr="00FF17EC">
        <w:t>, both</w:t>
      </w:r>
      <w:r w:rsidRPr="00FF17EC">
        <w:t xml:space="preserve"> in the planes around Timi</w:t>
      </w:r>
      <w:r w:rsidR="00035D95" w:rsidRPr="00FF17EC">
        <w:t>ș</w:t>
      </w:r>
      <w:r w:rsidRPr="00FF17EC">
        <w:t xml:space="preserve">oara, and </w:t>
      </w:r>
      <w:r w:rsidR="000675B6" w:rsidRPr="00FF17EC">
        <w:t xml:space="preserve">in </w:t>
      </w:r>
      <w:r w:rsidRPr="00FF17EC">
        <w:t>the mountains</w:t>
      </w:r>
      <w:r w:rsidR="00E64B78" w:rsidRPr="00FF17EC">
        <w:t>, in</w:t>
      </w:r>
      <w:r w:rsidRPr="00FF17EC">
        <w:t xml:space="preserve"> the area of Re</w:t>
      </w:r>
      <w:r w:rsidR="00035D95" w:rsidRPr="00FF17EC">
        <w:t>ș</w:t>
      </w:r>
      <w:r w:rsidRPr="00FF17EC">
        <w:t>i</w:t>
      </w:r>
      <w:r w:rsidR="00035D95" w:rsidRPr="00FF17EC">
        <w:t>ț</w:t>
      </w:r>
      <w:r w:rsidRPr="00FF17EC">
        <w:t xml:space="preserve">a </w:t>
      </w:r>
      <w:r w:rsidR="000E060C" w:rsidRPr="00FF17EC">
        <w:t>(Map 3</w:t>
      </w:r>
      <w:r w:rsidRPr="00FF17EC">
        <w:t>.2).</w:t>
      </w:r>
      <w:r w:rsidR="00687088" w:rsidRPr="00FF17EC">
        <w:t xml:space="preserve"> </w:t>
      </w:r>
    </w:p>
    <w:p w:rsidR="00634723" w:rsidRPr="00FF17EC" w:rsidRDefault="00694CC3" w:rsidP="00766BB2">
      <w:r w:rsidRPr="00FF17EC">
        <w:t xml:space="preserve">The capacity of these urban poles to attract population is increasing in parallel with </w:t>
      </w:r>
      <w:r w:rsidR="00E64B78" w:rsidRPr="00FF17EC">
        <w:t xml:space="preserve">recent local economic booming, </w:t>
      </w:r>
      <w:r w:rsidRPr="00FF17EC">
        <w:t>driven by significant FDIs in</w:t>
      </w:r>
      <w:r w:rsidR="00E64B78" w:rsidRPr="00FF17EC">
        <w:t xml:space="preserve"> the </w:t>
      </w:r>
      <w:r w:rsidR="00D04A86" w:rsidRPr="00FF17EC">
        <w:t xml:space="preserve">industrial sectors, </w:t>
      </w:r>
      <w:r w:rsidRPr="00FF17EC">
        <w:t xml:space="preserve">and </w:t>
      </w:r>
      <w:r w:rsidR="00D04A86" w:rsidRPr="00FF17EC">
        <w:t xml:space="preserve">to </w:t>
      </w:r>
      <w:r w:rsidR="00E64B78" w:rsidRPr="00FF17EC">
        <w:t>the strengthening</w:t>
      </w:r>
      <w:r w:rsidRPr="00FF17EC">
        <w:t xml:space="preserve"> </w:t>
      </w:r>
      <w:r w:rsidR="00D04A86" w:rsidRPr="00FF17EC">
        <w:t xml:space="preserve">of the </w:t>
      </w:r>
      <w:r w:rsidRPr="00FF17EC">
        <w:t>service sector.</w:t>
      </w:r>
    </w:p>
    <w:p w:rsidR="00634723" w:rsidRPr="00FF17EC" w:rsidRDefault="00634723" w:rsidP="00634723">
      <w:r w:rsidRPr="00FF17EC">
        <w:t>On the contrary, in Serbia, all municipalities, including the bigger cities located inside the eligible area, as Zrenjanin, present negative migration balance, as a result of a combination of different factors, like competitive living conditions in major urban poles in the proximity of the eligible area (Belgrade, Novi Sad), limited public services, and deindustrialization. In an intermediate position stand vital towns like Vršac, that can be relatively more attractive, due to local industrial development supported also by some FDI, and better quality of services.</w:t>
      </w:r>
    </w:p>
    <w:p w:rsidR="000675B6" w:rsidRPr="00FF17EC" w:rsidRDefault="000675B6" w:rsidP="00766BB2"/>
    <w:p w:rsidR="00477D64" w:rsidRPr="00FF17EC" w:rsidRDefault="00160948">
      <w:pPr>
        <w:pStyle w:val="Caption"/>
      </w:pPr>
      <w:r w:rsidRPr="00FF17EC">
        <w:rPr>
          <w:noProof/>
          <w:lang w:eastAsia="en-GB"/>
        </w:rPr>
        <w:lastRenderedPageBreak/>
        <w:drawing>
          <wp:inline distT="0" distB="0" distL="0" distR="0">
            <wp:extent cx="5410824" cy="3829050"/>
            <wp:effectExtent l="0" t="0" r="0" b="0"/>
            <wp:docPr id="26" name="Picture 26" descr="D:\cbc\TA Poduniavski\harti\Variation inhs_with Podunav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bc\TA Poduniavski\harti\Variation inhs_with Podunavski.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14822" cy="3831880"/>
                    </a:xfrm>
                    <a:prstGeom prst="rect">
                      <a:avLst/>
                    </a:prstGeom>
                    <a:noFill/>
                    <a:ln>
                      <a:noFill/>
                    </a:ln>
                  </pic:spPr>
                </pic:pic>
              </a:graphicData>
            </a:graphic>
          </wp:inline>
        </w:drawing>
      </w:r>
      <w:r w:rsidR="00D04A86" w:rsidRPr="00FF17EC">
        <w:br w:type="textWrapping" w:clear="all"/>
      </w:r>
      <w:r w:rsidR="00E64B78" w:rsidRPr="00FF17EC">
        <w:t xml:space="preserve">Map </w:t>
      </w:r>
      <w:r w:rsidR="00085686" w:rsidRPr="00FF17EC">
        <w:fldChar w:fldCharType="begin"/>
      </w:r>
      <w:r w:rsidR="00EE702C" w:rsidRPr="00FF17EC">
        <w:instrText xml:space="preserve"> STYLEREF 1 \s </w:instrText>
      </w:r>
      <w:r w:rsidR="00085686" w:rsidRPr="00FF17EC">
        <w:fldChar w:fldCharType="separate"/>
      </w:r>
      <w:r w:rsidR="009737E5">
        <w:rPr>
          <w:noProof/>
        </w:rPr>
        <w:t>3</w:t>
      </w:r>
      <w:r w:rsidR="00085686" w:rsidRPr="00FF17EC">
        <w:rPr>
          <w:noProof/>
        </w:rPr>
        <w:fldChar w:fldCharType="end"/>
      </w:r>
      <w:r w:rsidR="00CA6A29" w:rsidRPr="00FF17EC">
        <w:noBreakHyphen/>
      </w:r>
      <w:r w:rsidR="00085686" w:rsidRPr="00FF17EC">
        <w:fldChar w:fldCharType="begin"/>
      </w:r>
      <w:r w:rsidR="00EE702C" w:rsidRPr="00FF17EC">
        <w:instrText xml:space="preserve"> SEQ Map \* ARABIC \s 1 </w:instrText>
      </w:r>
      <w:r w:rsidR="00085686" w:rsidRPr="00FF17EC">
        <w:fldChar w:fldCharType="separate"/>
      </w:r>
      <w:r w:rsidR="009737E5">
        <w:rPr>
          <w:noProof/>
        </w:rPr>
        <w:t>2</w:t>
      </w:r>
      <w:r w:rsidR="00085686" w:rsidRPr="00FF17EC">
        <w:rPr>
          <w:noProof/>
        </w:rPr>
        <w:fldChar w:fldCharType="end"/>
      </w:r>
      <w:r w:rsidR="00FA0777" w:rsidRPr="00FF17EC">
        <w:t xml:space="preserve"> </w:t>
      </w:r>
      <w:r w:rsidR="00710A00" w:rsidRPr="00FF17EC">
        <w:t xml:space="preserve">Variation of population </w:t>
      </w:r>
      <w:r w:rsidR="00B52331" w:rsidRPr="00FF17EC">
        <w:t>2000-2012</w:t>
      </w:r>
      <w:r w:rsidR="00FA0777" w:rsidRPr="00FF17EC">
        <w:t xml:space="preserve"> in the eligible area</w:t>
      </w:r>
    </w:p>
    <w:p w:rsidR="00003F33" w:rsidRPr="00FF17EC" w:rsidRDefault="00003F33" w:rsidP="00003F33">
      <w:pPr>
        <w:pStyle w:val="CommentText"/>
      </w:pPr>
      <w:r w:rsidRPr="00FF17EC">
        <w:t xml:space="preserve">As a consequence of the migratory trends, there is </w:t>
      </w:r>
      <w:r w:rsidR="00B372AF" w:rsidRPr="00FF17EC">
        <w:t>a huge</w:t>
      </w:r>
      <w:r w:rsidRPr="00FF17EC">
        <w:t xml:space="preserve"> number of inhabitants living and working abroad (in EU countries or S</w:t>
      </w:r>
      <w:r w:rsidR="00B372AF" w:rsidRPr="00FF17EC">
        <w:t xml:space="preserve">wiss), with familiar economic </w:t>
      </w:r>
      <w:r w:rsidRPr="00FF17EC">
        <w:t>and social connections in the eligible areas. This could be considered a common issue and opportunity for cross border cooperation, still not tackled by projects of the current programme.</w:t>
      </w:r>
    </w:p>
    <w:p w:rsidR="000D2782" w:rsidRPr="00FF17EC" w:rsidRDefault="00B52331" w:rsidP="00B52331">
      <w:r w:rsidRPr="00FF17EC">
        <w:t>The natural demographic trend contributes to the decline in most of the eligible area. Especially in the South, on both sides of the border, many municipalities present a natural demographic balance lower then -0,015 (Map 3.3). In Romania, a limited number of cities and villages, especially in the Timiș County, present a positive natural balance.</w:t>
      </w:r>
      <w:r w:rsidR="00687088" w:rsidRPr="00FF17EC">
        <w:t xml:space="preserve"> </w:t>
      </w:r>
    </w:p>
    <w:p w:rsidR="000E060C" w:rsidRPr="00FF17EC" w:rsidRDefault="00B52331" w:rsidP="00B52331">
      <w:r w:rsidRPr="00FF17EC">
        <w:t xml:space="preserve">The main reasons of these trends can be identified in the migration process, that involves for the largest part young adult active persons, that move abroad or outside the eligible area, and establish there new families. Also, the natural balance proves that the only area capable to attract population, for temporary and permanent migrations, is that </w:t>
      </w:r>
      <w:r w:rsidR="000E060C" w:rsidRPr="00FF17EC">
        <w:t xml:space="preserve">in proximity of </w:t>
      </w:r>
      <w:r w:rsidRPr="00FF17EC">
        <w:t>Timiș</w:t>
      </w:r>
      <w:r w:rsidR="000E060C" w:rsidRPr="00FF17EC">
        <w:t>oara</w:t>
      </w:r>
      <w:r w:rsidRPr="00FF17EC">
        <w:t xml:space="preserve">. </w:t>
      </w:r>
      <w:r w:rsidRPr="00FF17EC">
        <w:lastRenderedPageBreak/>
        <w:t>In that county a significant number of municipalities present positive migratory and natural balance.</w:t>
      </w:r>
    </w:p>
    <w:p w:rsidR="000E060C" w:rsidRPr="00FF17EC" w:rsidRDefault="00160948" w:rsidP="000E060C">
      <w:r w:rsidRPr="00FF17EC">
        <w:rPr>
          <w:noProof/>
          <w:lang w:eastAsia="en-GB"/>
        </w:rPr>
        <w:drawing>
          <wp:inline distT="0" distB="0" distL="0" distR="0">
            <wp:extent cx="5837731" cy="4132053"/>
            <wp:effectExtent l="0" t="0" r="0" b="1905"/>
            <wp:docPr id="5" name="Picture 5" descr="D:\cbc\TA 29.07\maps\Natural demographic balance_with Podunav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bc\TA 29.07\maps\Natural demographic balance_with Podunavski.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39747" cy="4133480"/>
                    </a:xfrm>
                    <a:prstGeom prst="rect">
                      <a:avLst/>
                    </a:prstGeom>
                    <a:noFill/>
                    <a:ln>
                      <a:noFill/>
                    </a:ln>
                  </pic:spPr>
                </pic:pic>
              </a:graphicData>
            </a:graphic>
          </wp:inline>
        </w:drawing>
      </w:r>
    </w:p>
    <w:p w:rsidR="000E060C" w:rsidRPr="00FF17EC" w:rsidRDefault="000E060C" w:rsidP="000E060C">
      <w:pPr>
        <w:pStyle w:val="Caption"/>
        <w:rPr>
          <w:sz w:val="22"/>
        </w:rPr>
      </w:pPr>
      <w:r w:rsidRPr="00FF17EC">
        <w:rPr>
          <w:sz w:val="22"/>
        </w:rPr>
        <w:t xml:space="preserve">Map </w:t>
      </w:r>
      <w:r w:rsidR="00085686" w:rsidRPr="00FF17EC">
        <w:rPr>
          <w:sz w:val="22"/>
        </w:rPr>
        <w:fldChar w:fldCharType="begin"/>
      </w:r>
      <w:r w:rsidR="006C6BFE" w:rsidRPr="00FF17EC">
        <w:rPr>
          <w:sz w:val="22"/>
        </w:rPr>
        <w:instrText xml:space="preserve"> STYLEREF 1 \s </w:instrText>
      </w:r>
      <w:r w:rsidR="00085686" w:rsidRPr="00FF17EC">
        <w:rPr>
          <w:sz w:val="22"/>
        </w:rPr>
        <w:fldChar w:fldCharType="separate"/>
      </w:r>
      <w:r w:rsidR="009737E5">
        <w:rPr>
          <w:noProof/>
          <w:sz w:val="22"/>
        </w:rPr>
        <w:t>3</w:t>
      </w:r>
      <w:r w:rsidR="00085686" w:rsidRPr="00FF17EC">
        <w:rPr>
          <w:sz w:val="22"/>
        </w:rPr>
        <w:fldChar w:fldCharType="end"/>
      </w:r>
      <w:r w:rsidR="00CA6A29" w:rsidRPr="00FF17EC">
        <w:rPr>
          <w:sz w:val="22"/>
        </w:rPr>
        <w:noBreakHyphen/>
      </w:r>
      <w:r w:rsidR="00085686" w:rsidRPr="00FF17EC">
        <w:rPr>
          <w:sz w:val="22"/>
        </w:rPr>
        <w:fldChar w:fldCharType="begin"/>
      </w:r>
      <w:r w:rsidR="006C6BFE" w:rsidRPr="00FF17EC">
        <w:rPr>
          <w:sz w:val="22"/>
        </w:rPr>
        <w:instrText xml:space="preserve"> SEQ Map \* ARABIC \s 1 </w:instrText>
      </w:r>
      <w:r w:rsidR="00085686" w:rsidRPr="00FF17EC">
        <w:rPr>
          <w:sz w:val="22"/>
        </w:rPr>
        <w:fldChar w:fldCharType="separate"/>
      </w:r>
      <w:r w:rsidR="009737E5">
        <w:rPr>
          <w:noProof/>
          <w:sz w:val="22"/>
        </w:rPr>
        <w:t>3</w:t>
      </w:r>
      <w:r w:rsidR="00085686" w:rsidRPr="00FF17EC">
        <w:rPr>
          <w:sz w:val="22"/>
        </w:rPr>
        <w:fldChar w:fldCharType="end"/>
      </w:r>
      <w:r w:rsidRPr="00FF17EC">
        <w:rPr>
          <w:sz w:val="22"/>
        </w:rPr>
        <w:t xml:space="preserve"> Natural demographic balance in 2012</w:t>
      </w:r>
    </w:p>
    <w:p w:rsidR="00E64B78" w:rsidRPr="00FF17EC" w:rsidRDefault="00E64B78" w:rsidP="00766BB2"/>
    <w:tbl>
      <w:tblPr>
        <w:tblW w:w="6516" w:type="dxa"/>
        <w:tblInd w:w="779" w:type="dxa"/>
        <w:tblCellMar>
          <w:left w:w="70" w:type="dxa"/>
          <w:right w:w="70" w:type="dxa"/>
        </w:tblCellMar>
        <w:tblLook w:val="04A0" w:firstRow="1" w:lastRow="0" w:firstColumn="1" w:lastColumn="0" w:noHBand="0" w:noVBand="1"/>
      </w:tblPr>
      <w:tblGrid>
        <w:gridCol w:w="2285"/>
        <w:gridCol w:w="2109"/>
        <w:gridCol w:w="2122"/>
      </w:tblGrid>
      <w:tr w:rsidR="000E060C" w:rsidRPr="00FF17EC" w:rsidTr="00D60B4E">
        <w:trPr>
          <w:trHeight w:val="900"/>
        </w:trPr>
        <w:tc>
          <w:tcPr>
            <w:tcW w:w="2285" w:type="dxa"/>
            <w:tcBorders>
              <w:top w:val="single" w:sz="4" w:space="0" w:color="auto"/>
              <w:left w:val="nil"/>
              <w:bottom w:val="single" w:sz="4" w:space="0" w:color="auto"/>
              <w:right w:val="nil"/>
            </w:tcBorders>
            <w:shd w:val="clear" w:color="auto" w:fill="auto"/>
            <w:vAlign w:val="bottom"/>
            <w:hideMark/>
          </w:tcPr>
          <w:p w:rsidR="000E060C" w:rsidRPr="00FF17EC" w:rsidRDefault="000E060C" w:rsidP="00D60B4E">
            <w:pPr>
              <w:keepNext/>
              <w:spacing w:after="0" w:line="240" w:lineRule="auto"/>
              <w:ind w:left="89"/>
              <w:jc w:val="right"/>
              <w:rPr>
                <w:rFonts w:ascii="Calibri" w:hAnsi="Calibri" w:cs="Times New Roman"/>
                <w:color w:val="000000"/>
                <w:lang w:val="it-IT" w:eastAsia="it-IT"/>
              </w:rPr>
            </w:pPr>
            <w:r w:rsidRPr="00FF17EC">
              <w:rPr>
                <w:rFonts w:ascii="Calibri" w:hAnsi="Calibri" w:cs="Times New Roman"/>
                <w:color w:val="000000"/>
                <w:lang w:val="it-IT" w:eastAsia="it-IT"/>
              </w:rPr>
              <w:lastRenderedPageBreak/>
              <w:t>County -districts</w:t>
            </w:r>
          </w:p>
        </w:tc>
        <w:tc>
          <w:tcPr>
            <w:tcW w:w="2109" w:type="dxa"/>
            <w:tcBorders>
              <w:top w:val="single" w:sz="4" w:space="0" w:color="auto"/>
              <w:left w:val="nil"/>
              <w:bottom w:val="single" w:sz="4" w:space="0" w:color="auto"/>
              <w:right w:val="nil"/>
            </w:tcBorders>
            <w:shd w:val="clear" w:color="auto" w:fill="auto"/>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 xml:space="preserve"> older 65 /total population in</w:t>
            </w:r>
            <w:r w:rsidR="00687088" w:rsidRPr="00FF17EC">
              <w:rPr>
                <w:rFonts w:ascii="Calibri" w:hAnsi="Calibri" w:cs="Times New Roman"/>
                <w:color w:val="000000"/>
                <w:lang w:val="it-IT" w:eastAsia="it-IT"/>
              </w:rPr>
              <w:t xml:space="preserve"> </w:t>
            </w:r>
            <w:r w:rsidRPr="00FF17EC">
              <w:rPr>
                <w:rFonts w:ascii="Calibri" w:hAnsi="Calibri" w:cs="Times New Roman"/>
                <w:color w:val="000000"/>
                <w:lang w:val="it-IT" w:eastAsia="it-IT"/>
              </w:rPr>
              <w:t xml:space="preserve">2001 </w:t>
            </w:r>
          </w:p>
        </w:tc>
        <w:tc>
          <w:tcPr>
            <w:tcW w:w="2122" w:type="dxa"/>
            <w:tcBorders>
              <w:top w:val="single" w:sz="4" w:space="0" w:color="auto"/>
              <w:left w:val="nil"/>
              <w:bottom w:val="single" w:sz="4" w:space="0" w:color="auto"/>
              <w:right w:val="nil"/>
            </w:tcBorders>
            <w:shd w:val="clear" w:color="auto" w:fill="auto"/>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 xml:space="preserve"> older 65 /total population in</w:t>
            </w:r>
            <w:r w:rsidR="00687088" w:rsidRPr="00FF17EC">
              <w:rPr>
                <w:rFonts w:ascii="Calibri" w:hAnsi="Calibri" w:cs="Times New Roman"/>
                <w:color w:val="000000"/>
                <w:lang w:val="it-IT" w:eastAsia="it-IT"/>
              </w:rPr>
              <w:t xml:space="preserve"> </w:t>
            </w:r>
            <w:r w:rsidRPr="00FF17EC">
              <w:rPr>
                <w:rFonts w:ascii="Calibri" w:hAnsi="Calibri" w:cs="Times New Roman"/>
                <w:color w:val="000000"/>
                <w:lang w:val="it-IT" w:eastAsia="it-IT"/>
              </w:rPr>
              <w:t xml:space="preserve">2011 </w:t>
            </w:r>
          </w:p>
        </w:tc>
      </w:tr>
      <w:tr w:rsidR="000E060C" w:rsidRPr="00FF17EC" w:rsidTr="00D60B4E">
        <w:trPr>
          <w:trHeight w:val="300"/>
        </w:trPr>
        <w:tc>
          <w:tcPr>
            <w:tcW w:w="2285"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Timiş*</w:t>
            </w:r>
          </w:p>
        </w:tc>
        <w:tc>
          <w:tcPr>
            <w:tcW w:w="2109"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17%</w:t>
            </w:r>
          </w:p>
        </w:tc>
        <w:tc>
          <w:tcPr>
            <w:tcW w:w="2122" w:type="dxa"/>
            <w:tcBorders>
              <w:top w:val="nil"/>
              <w:left w:val="nil"/>
              <w:bottom w:val="nil"/>
              <w:right w:val="nil"/>
            </w:tcBorders>
            <w:shd w:val="clear" w:color="auto" w:fill="auto"/>
            <w:noWrap/>
            <w:vAlign w:val="bottom"/>
            <w:hideMark/>
          </w:tcPr>
          <w:p w:rsidR="000E060C" w:rsidRPr="00FF17EC" w:rsidRDefault="005A52D9" w:rsidP="00D3775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 xml:space="preserve"> </w:t>
            </w:r>
            <w:r w:rsidR="00D3775E" w:rsidRPr="00FF17EC">
              <w:rPr>
                <w:rFonts w:ascii="Calibri" w:hAnsi="Calibri" w:cs="Times New Roman"/>
                <w:color w:val="000000"/>
                <w:lang w:val="it-IT" w:eastAsia="it-IT"/>
              </w:rPr>
              <w:t>14%</w:t>
            </w:r>
            <w:r w:rsidR="000E060C" w:rsidRPr="00FF17EC">
              <w:rPr>
                <w:rFonts w:ascii="Calibri" w:hAnsi="Calibri" w:cs="Times New Roman"/>
                <w:color w:val="000000"/>
                <w:lang w:val="it-IT" w:eastAsia="it-IT"/>
              </w:rPr>
              <w:t xml:space="preserve"> </w:t>
            </w:r>
          </w:p>
        </w:tc>
      </w:tr>
      <w:tr w:rsidR="000E060C" w:rsidRPr="00FF17EC" w:rsidTr="00D60B4E">
        <w:trPr>
          <w:trHeight w:val="300"/>
        </w:trPr>
        <w:tc>
          <w:tcPr>
            <w:tcW w:w="2285" w:type="dxa"/>
            <w:tcBorders>
              <w:top w:val="nil"/>
              <w:left w:val="nil"/>
              <w:bottom w:val="nil"/>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 xml:space="preserve"> </w:t>
            </w:r>
            <w:r w:rsidR="000E060C" w:rsidRPr="00FF17EC">
              <w:rPr>
                <w:rFonts w:ascii="Calibri" w:hAnsi="Calibri" w:cs="Times New Roman"/>
                <w:color w:val="000000"/>
                <w:lang w:val="it-IT" w:eastAsia="it-IT"/>
              </w:rPr>
              <w:t>Caraş-Severin*</w:t>
            </w:r>
          </w:p>
        </w:tc>
        <w:tc>
          <w:tcPr>
            <w:tcW w:w="2109"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20%</w:t>
            </w:r>
          </w:p>
        </w:tc>
        <w:tc>
          <w:tcPr>
            <w:tcW w:w="2122" w:type="dxa"/>
            <w:tcBorders>
              <w:top w:val="nil"/>
              <w:left w:val="nil"/>
              <w:bottom w:val="nil"/>
              <w:right w:val="nil"/>
            </w:tcBorders>
            <w:shd w:val="clear" w:color="auto" w:fill="auto"/>
            <w:noWrap/>
            <w:vAlign w:val="bottom"/>
            <w:hideMark/>
          </w:tcPr>
          <w:p w:rsidR="000E060C" w:rsidRPr="00FF17EC" w:rsidRDefault="005A52D9" w:rsidP="00D3775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 xml:space="preserve"> </w:t>
            </w:r>
            <w:r w:rsidR="00D3775E" w:rsidRPr="00FF17EC">
              <w:rPr>
                <w:rFonts w:ascii="Calibri" w:hAnsi="Calibri" w:cs="Times New Roman"/>
                <w:color w:val="000000"/>
                <w:lang w:val="it-IT" w:eastAsia="it-IT"/>
              </w:rPr>
              <w:t>18%</w:t>
            </w:r>
            <w:r w:rsidR="000E060C" w:rsidRPr="00FF17EC">
              <w:rPr>
                <w:rFonts w:ascii="Calibri" w:hAnsi="Calibri" w:cs="Times New Roman"/>
                <w:color w:val="000000"/>
                <w:lang w:val="it-IT" w:eastAsia="it-IT"/>
              </w:rPr>
              <w:t xml:space="preserve"> </w:t>
            </w:r>
          </w:p>
        </w:tc>
      </w:tr>
      <w:tr w:rsidR="000E060C" w:rsidRPr="00FF17EC" w:rsidTr="00D60B4E">
        <w:trPr>
          <w:trHeight w:val="300"/>
        </w:trPr>
        <w:tc>
          <w:tcPr>
            <w:tcW w:w="2285" w:type="dxa"/>
            <w:tcBorders>
              <w:top w:val="nil"/>
              <w:left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Mehedinţi*</w:t>
            </w:r>
          </w:p>
        </w:tc>
        <w:tc>
          <w:tcPr>
            <w:tcW w:w="2109" w:type="dxa"/>
            <w:tcBorders>
              <w:top w:val="nil"/>
              <w:left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22%</w:t>
            </w:r>
          </w:p>
        </w:tc>
        <w:tc>
          <w:tcPr>
            <w:tcW w:w="2122" w:type="dxa"/>
            <w:tcBorders>
              <w:top w:val="nil"/>
              <w:left w:val="nil"/>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18%</w:t>
            </w:r>
            <w:r w:rsidR="000E060C" w:rsidRPr="00FF17EC">
              <w:rPr>
                <w:rFonts w:ascii="Calibri" w:hAnsi="Calibri" w:cs="Times New Roman"/>
                <w:color w:val="000000"/>
                <w:lang w:val="it-IT" w:eastAsia="it-IT"/>
              </w:rPr>
              <w:t xml:space="preserve"> </w:t>
            </w:r>
          </w:p>
        </w:tc>
      </w:tr>
      <w:tr w:rsidR="000E060C" w:rsidRPr="00FF17EC" w:rsidTr="00D60B4E">
        <w:trPr>
          <w:trHeight w:val="300"/>
        </w:trPr>
        <w:tc>
          <w:tcPr>
            <w:tcW w:w="2285" w:type="dxa"/>
            <w:tcBorders>
              <w:top w:val="nil"/>
              <w:left w:val="nil"/>
              <w:bottom w:val="single" w:sz="4" w:space="0" w:color="auto"/>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b/>
                <w:bCs/>
                <w:color w:val="000000"/>
                <w:lang w:val="it-IT" w:eastAsia="it-IT"/>
              </w:rPr>
            </w:pPr>
            <w:r w:rsidRPr="00FF17EC">
              <w:rPr>
                <w:rFonts w:ascii="Calibri" w:hAnsi="Calibri" w:cs="Times New Roman"/>
                <w:b/>
                <w:bCs/>
                <w:color w:val="000000"/>
                <w:lang w:val="it-IT" w:eastAsia="it-IT"/>
              </w:rPr>
              <w:t>ROMANIA</w:t>
            </w:r>
          </w:p>
        </w:tc>
        <w:tc>
          <w:tcPr>
            <w:tcW w:w="2109" w:type="dxa"/>
            <w:tcBorders>
              <w:top w:val="nil"/>
              <w:left w:val="nil"/>
              <w:bottom w:val="single" w:sz="4" w:space="0" w:color="auto"/>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b/>
                <w:color w:val="000000"/>
                <w:lang w:val="it-IT" w:eastAsia="it-IT"/>
              </w:rPr>
            </w:pPr>
            <w:r w:rsidRPr="00FF17EC">
              <w:rPr>
                <w:rFonts w:ascii="Calibri" w:hAnsi="Calibri" w:cs="Times New Roman"/>
                <w:b/>
                <w:lang w:val="it-IT" w:eastAsia="it-IT"/>
              </w:rPr>
              <w:t>19%</w:t>
            </w:r>
          </w:p>
        </w:tc>
        <w:tc>
          <w:tcPr>
            <w:tcW w:w="2122" w:type="dxa"/>
            <w:tcBorders>
              <w:top w:val="nil"/>
              <w:left w:val="nil"/>
              <w:bottom w:val="single" w:sz="4" w:space="0" w:color="auto"/>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b/>
                <w:color w:val="000000"/>
                <w:lang w:val="it-IT" w:eastAsia="it-IT"/>
              </w:rPr>
            </w:pPr>
            <w:r w:rsidRPr="00FF17EC">
              <w:rPr>
                <w:rFonts w:ascii="Calibri" w:hAnsi="Calibri" w:cs="Times New Roman"/>
                <w:b/>
                <w:color w:val="000000"/>
                <w:lang w:val="it-IT" w:eastAsia="it-IT"/>
              </w:rPr>
              <w:t>14%</w:t>
            </w:r>
            <w:r w:rsidR="000E060C" w:rsidRPr="00FF17EC">
              <w:rPr>
                <w:rFonts w:ascii="Calibri" w:hAnsi="Calibri" w:cs="Times New Roman"/>
                <w:b/>
                <w:color w:val="000000"/>
                <w:lang w:val="it-IT" w:eastAsia="it-IT"/>
              </w:rPr>
              <w:t xml:space="preserve"> </w:t>
            </w:r>
          </w:p>
        </w:tc>
      </w:tr>
      <w:tr w:rsidR="000E060C" w:rsidRPr="00FF17EC" w:rsidTr="00D60B4E">
        <w:trPr>
          <w:trHeight w:val="300"/>
        </w:trPr>
        <w:tc>
          <w:tcPr>
            <w:tcW w:w="2285" w:type="dxa"/>
            <w:tcBorders>
              <w:top w:val="single" w:sz="4" w:space="0" w:color="auto"/>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Severno-Banatski</w:t>
            </w:r>
          </w:p>
        </w:tc>
        <w:tc>
          <w:tcPr>
            <w:tcW w:w="2109" w:type="dxa"/>
            <w:tcBorders>
              <w:top w:val="single" w:sz="4" w:space="0" w:color="auto"/>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16%</w:t>
            </w:r>
          </w:p>
        </w:tc>
        <w:tc>
          <w:tcPr>
            <w:tcW w:w="2122" w:type="dxa"/>
            <w:tcBorders>
              <w:top w:val="single" w:sz="4" w:space="0" w:color="auto"/>
              <w:left w:val="nil"/>
              <w:bottom w:val="nil"/>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17%</w:t>
            </w:r>
            <w:r w:rsidR="000E060C" w:rsidRPr="00FF17EC">
              <w:rPr>
                <w:rFonts w:ascii="Calibri" w:hAnsi="Calibri" w:cs="Times New Roman"/>
                <w:color w:val="000000"/>
                <w:lang w:val="it-IT" w:eastAsia="it-IT"/>
              </w:rPr>
              <w:t xml:space="preserve"> </w:t>
            </w:r>
          </w:p>
        </w:tc>
      </w:tr>
      <w:tr w:rsidR="000E060C" w:rsidRPr="00FF17EC" w:rsidTr="00D60B4E">
        <w:trPr>
          <w:trHeight w:val="300"/>
        </w:trPr>
        <w:tc>
          <w:tcPr>
            <w:tcW w:w="2285"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Srednje-Banatski</w:t>
            </w:r>
          </w:p>
        </w:tc>
        <w:tc>
          <w:tcPr>
            <w:tcW w:w="2109"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15%</w:t>
            </w:r>
          </w:p>
        </w:tc>
        <w:tc>
          <w:tcPr>
            <w:tcW w:w="2122" w:type="dxa"/>
            <w:tcBorders>
              <w:top w:val="nil"/>
              <w:left w:val="nil"/>
              <w:bottom w:val="nil"/>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17%</w:t>
            </w:r>
            <w:r w:rsidR="000E060C" w:rsidRPr="00FF17EC">
              <w:rPr>
                <w:rFonts w:ascii="Calibri" w:hAnsi="Calibri" w:cs="Times New Roman"/>
                <w:color w:val="000000"/>
                <w:lang w:val="it-IT" w:eastAsia="it-IT"/>
              </w:rPr>
              <w:t xml:space="preserve"> </w:t>
            </w:r>
          </w:p>
        </w:tc>
      </w:tr>
      <w:tr w:rsidR="000E060C" w:rsidRPr="00FF17EC" w:rsidTr="00D60B4E">
        <w:trPr>
          <w:trHeight w:val="300"/>
        </w:trPr>
        <w:tc>
          <w:tcPr>
            <w:tcW w:w="2285"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Južno-Banatski</w:t>
            </w:r>
          </w:p>
        </w:tc>
        <w:tc>
          <w:tcPr>
            <w:tcW w:w="2109"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16%</w:t>
            </w:r>
          </w:p>
        </w:tc>
        <w:tc>
          <w:tcPr>
            <w:tcW w:w="2122" w:type="dxa"/>
            <w:tcBorders>
              <w:top w:val="nil"/>
              <w:left w:val="nil"/>
              <w:bottom w:val="nil"/>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16%</w:t>
            </w:r>
            <w:r w:rsidR="000E060C" w:rsidRPr="00FF17EC">
              <w:rPr>
                <w:rFonts w:ascii="Calibri" w:hAnsi="Calibri" w:cs="Times New Roman"/>
                <w:color w:val="000000"/>
                <w:lang w:val="it-IT" w:eastAsia="it-IT"/>
              </w:rPr>
              <w:t xml:space="preserve"> </w:t>
            </w:r>
          </w:p>
        </w:tc>
      </w:tr>
      <w:tr w:rsidR="003A35C4" w:rsidRPr="00FF17EC" w:rsidTr="00D60B4E">
        <w:trPr>
          <w:trHeight w:val="300"/>
        </w:trPr>
        <w:tc>
          <w:tcPr>
            <w:tcW w:w="2285" w:type="dxa"/>
            <w:tcBorders>
              <w:top w:val="nil"/>
              <w:left w:val="nil"/>
              <w:bottom w:val="nil"/>
              <w:right w:val="nil"/>
            </w:tcBorders>
            <w:shd w:val="clear" w:color="auto" w:fill="auto"/>
            <w:noWrap/>
            <w:vAlign w:val="bottom"/>
          </w:tcPr>
          <w:p w:rsidR="003A35C4" w:rsidRPr="00FF17EC" w:rsidRDefault="003A35C4"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Podunavski</w:t>
            </w:r>
          </w:p>
        </w:tc>
        <w:tc>
          <w:tcPr>
            <w:tcW w:w="2109" w:type="dxa"/>
            <w:tcBorders>
              <w:top w:val="nil"/>
              <w:left w:val="nil"/>
              <w:bottom w:val="nil"/>
              <w:right w:val="nil"/>
            </w:tcBorders>
            <w:shd w:val="clear" w:color="auto" w:fill="auto"/>
            <w:noWrap/>
            <w:vAlign w:val="bottom"/>
          </w:tcPr>
          <w:p w:rsidR="003A35C4" w:rsidRPr="00FF17EC" w:rsidRDefault="001105BD"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16%</w:t>
            </w:r>
          </w:p>
        </w:tc>
        <w:tc>
          <w:tcPr>
            <w:tcW w:w="2122" w:type="dxa"/>
            <w:tcBorders>
              <w:top w:val="nil"/>
              <w:left w:val="nil"/>
              <w:bottom w:val="nil"/>
              <w:right w:val="nil"/>
            </w:tcBorders>
            <w:shd w:val="clear" w:color="auto" w:fill="auto"/>
            <w:noWrap/>
            <w:vAlign w:val="bottom"/>
          </w:tcPr>
          <w:p w:rsidR="003A35C4" w:rsidRPr="00FF17EC" w:rsidRDefault="001105BD" w:rsidP="001105BD">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17%</w:t>
            </w:r>
          </w:p>
        </w:tc>
      </w:tr>
      <w:tr w:rsidR="000E060C" w:rsidRPr="00FF17EC" w:rsidTr="00D60B4E">
        <w:trPr>
          <w:trHeight w:val="300"/>
        </w:trPr>
        <w:tc>
          <w:tcPr>
            <w:tcW w:w="2285"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Braničevski</w:t>
            </w:r>
          </w:p>
        </w:tc>
        <w:tc>
          <w:tcPr>
            <w:tcW w:w="2109"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22%</w:t>
            </w:r>
          </w:p>
        </w:tc>
        <w:tc>
          <w:tcPr>
            <w:tcW w:w="2122" w:type="dxa"/>
            <w:tcBorders>
              <w:top w:val="nil"/>
              <w:left w:val="nil"/>
              <w:bottom w:val="nil"/>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21%</w:t>
            </w:r>
            <w:r w:rsidR="000E060C" w:rsidRPr="00FF17EC">
              <w:rPr>
                <w:rFonts w:ascii="Calibri" w:hAnsi="Calibri" w:cs="Times New Roman"/>
                <w:color w:val="000000"/>
                <w:lang w:val="it-IT" w:eastAsia="it-IT"/>
              </w:rPr>
              <w:t xml:space="preserve"> </w:t>
            </w:r>
          </w:p>
        </w:tc>
      </w:tr>
      <w:tr w:rsidR="000E060C" w:rsidRPr="00FF17EC" w:rsidTr="00D60B4E">
        <w:trPr>
          <w:trHeight w:val="300"/>
        </w:trPr>
        <w:tc>
          <w:tcPr>
            <w:tcW w:w="2285" w:type="dxa"/>
            <w:tcBorders>
              <w:top w:val="nil"/>
              <w:left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Borski</w:t>
            </w:r>
          </w:p>
        </w:tc>
        <w:tc>
          <w:tcPr>
            <w:tcW w:w="2109" w:type="dxa"/>
            <w:tcBorders>
              <w:top w:val="nil"/>
              <w:left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18%</w:t>
            </w:r>
          </w:p>
        </w:tc>
        <w:tc>
          <w:tcPr>
            <w:tcW w:w="2122" w:type="dxa"/>
            <w:tcBorders>
              <w:top w:val="nil"/>
              <w:left w:val="nil"/>
              <w:right w:val="nil"/>
            </w:tcBorders>
            <w:shd w:val="clear" w:color="auto" w:fill="auto"/>
            <w:noWrap/>
            <w:vAlign w:val="bottom"/>
            <w:hideMark/>
          </w:tcPr>
          <w:p w:rsidR="000E060C" w:rsidRPr="00FF17EC" w:rsidRDefault="005A52D9" w:rsidP="00D3775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 xml:space="preserve"> </w:t>
            </w:r>
            <w:r w:rsidR="00D3775E" w:rsidRPr="00FF17EC">
              <w:rPr>
                <w:rFonts w:ascii="Calibri" w:hAnsi="Calibri" w:cs="Times New Roman"/>
                <w:color w:val="000000"/>
                <w:lang w:val="it-IT" w:eastAsia="it-IT"/>
              </w:rPr>
              <w:t>19%</w:t>
            </w:r>
            <w:r w:rsidR="000E060C" w:rsidRPr="00FF17EC">
              <w:rPr>
                <w:rFonts w:ascii="Calibri" w:hAnsi="Calibri" w:cs="Times New Roman"/>
                <w:color w:val="000000"/>
                <w:lang w:val="it-IT" w:eastAsia="it-IT"/>
              </w:rPr>
              <w:t xml:space="preserve"> </w:t>
            </w:r>
          </w:p>
        </w:tc>
      </w:tr>
      <w:tr w:rsidR="000E060C" w:rsidRPr="00FF17EC" w:rsidTr="00D60B4E">
        <w:trPr>
          <w:trHeight w:val="300"/>
        </w:trPr>
        <w:tc>
          <w:tcPr>
            <w:tcW w:w="2285" w:type="dxa"/>
            <w:tcBorders>
              <w:top w:val="nil"/>
              <w:left w:val="nil"/>
              <w:bottom w:val="single" w:sz="4" w:space="0" w:color="auto"/>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b/>
                <w:bCs/>
                <w:color w:val="000000"/>
                <w:lang w:val="it-IT" w:eastAsia="it-IT"/>
              </w:rPr>
            </w:pPr>
            <w:r w:rsidRPr="00FF17EC">
              <w:rPr>
                <w:rFonts w:ascii="Calibri" w:hAnsi="Calibri" w:cs="Times New Roman"/>
                <w:b/>
                <w:bCs/>
                <w:color w:val="000000"/>
                <w:lang w:val="it-IT" w:eastAsia="it-IT"/>
              </w:rPr>
              <w:t>SERBIA</w:t>
            </w:r>
          </w:p>
        </w:tc>
        <w:tc>
          <w:tcPr>
            <w:tcW w:w="2109" w:type="dxa"/>
            <w:tcBorders>
              <w:top w:val="nil"/>
              <w:left w:val="nil"/>
              <w:bottom w:val="single" w:sz="4" w:space="0" w:color="auto"/>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17%</w:t>
            </w:r>
          </w:p>
        </w:tc>
        <w:tc>
          <w:tcPr>
            <w:tcW w:w="2122" w:type="dxa"/>
            <w:tcBorders>
              <w:top w:val="nil"/>
              <w:left w:val="nil"/>
              <w:bottom w:val="single" w:sz="4" w:space="0" w:color="auto"/>
              <w:right w:val="nil"/>
            </w:tcBorders>
            <w:shd w:val="clear" w:color="auto" w:fill="auto"/>
            <w:noWrap/>
            <w:vAlign w:val="bottom"/>
            <w:hideMark/>
          </w:tcPr>
          <w:p w:rsidR="000E060C" w:rsidRPr="00FF17EC" w:rsidRDefault="005A52D9" w:rsidP="00D3775E">
            <w:pPr>
              <w:keepNext/>
              <w:spacing w:after="0" w:line="240" w:lineRule="auto"/>
              <w:jc w:val="right"/>
              <w:rPr>
                <w:rFonts w:ascii="Calibri" w:hAnsi="Calibri" w:cs="Times New Roman"/>
                <w:color w:val="000000"/>
                <w:lang w:val="it-IT" w:eastAsia="it-IT"/>
              </w:rPr>
            </w:pPr>
            <w:r w:rsidRPr="00FF17EC">
              <w:rPr>
                <w:rFonts w:ascii="Calibri" w:hAnsi="Calibri" w:cs="Times New Roman"/>
                <w:color w:val="000000"/>
                <w:lang w:val="it-IT" w:eastAsia="it-IT"/>
              </w:rPr>
              <w:t xml:space="preserve"> </w:t>
            </w:r>
            <w:r w:rsidR="00D3775E" w:rsidRPr="00FF17EC">
              <w:rPr>
                <w:rFonts w:ascii="Calibri" w:hAnsi="Calibri" w:cs="Times New Roman"/>
                <w:color w:val="000000"/>
                <w:lang w:val="it-IT" w:eastAsia="it-IT"/>
              </w:rPr>
              <w:t>17%</w:t>
            </w:r>
            <w:r w:rsidR="000E060C" w:rsidRPr="00FF17EC">
              <w:rPr>
                <w:rFonts w:ascii="Calibri" w:hAnsi="Calibri" w:cs="Times New Roman"/>
                <w:color w:val="000000"/>
                <w:lang w:val="it-IT" w:eastAsia="it-IT"/>
              </w:rPr>
              <w:t xml:space="preserve"> </w:t>
            </w:r>
          </w:p>
        </w:tc>
      </w:tr>
      <w:tr w:rsidR="000E060C" w:rsidRPr="00FF17EC" w:rsidTr="00D60B4E">
        <w:trPr>
          <w:trHeight w:val="300"/>
        </w:trPr>
        <w:tc>
          <w:tcPr>
            <w:tcW w:w="2285" w:type="dxa"/>
            <w:tcBorders>
              <w:top w:val="single" w:sz="4" w:space="0" w:color="auto"/>
              <w:left w:val="nil"/>
              <w:bottom w:val="single" w:sz="4" w:space="0" w:color="auto"/>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b/>
                <w:bCs/>
                <w:color w:val="000000"/>
                <w:lang w:val="it-IT" w:eastAsia="it-IT"/>
              </w:rPr>
            </w:pPr>
            <w:r w:rsidRPr="00FF17EC">
              <w:rPr>
                <w:rFonts w:ascii="Calibri" w:hAnsi="Calibri" w:cs="Times New Roman"/>
                <w:b/>
                <w:bCs/>
                <w:color w:val="000000"/>
                <w:lang w:val="it-IT" w:eastAsia="it-IT"/>
              </w:rPr>
              <w:t>EU 27</w:t>
            </w:r>
          </w:p>
        </w:tc>
        <w:tc>
          <w:tcPr>
            <w:tcW w:w="2109" w:type="dxa"/>
            <w:tcBorders>
              <w:top w:val="single" w:sz="4" w:space="0" w:color="auto"/>
              <w:left w:val="nil"/>
              <w:bottom w:val="single" w:sz="4" w:space="0" w:color="auto"/>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b/>
                <w:bCs/>
                <w:color w:val="000000"/>
                <w:lang w:val="it-IT" w:eastAsia="it-IT"/>
              </w:rPr>
            </w:pPr>
            <w:r w:rsidRPr="00FF17EC">
              <w:rPr>
                <w:rFonts w:ascii="Calibri" w:hAnsi="Calibri" w:cs="Times New Roman"/>
                <w:b/>
                <w:bCs/>
                <w:color w:val="000000"/>
                <w:lang w:val="it-IT" w:eastAsia="it-IT"/>
              </w:rPr>
              <w:t>17%</w:t>
            </w:r>
            <w:r w:rsidR="000E060C" w:rsidRPr="00FF17EC">
              <w:rPr>
                <w:rFonts w:ascii="Calibri" w:hAnsi="Calibri" w:cs="Times New Roman"/>
                <w:b/>
                <w:bCs/>
                <w:color w:val="000000"/>
                <w:lang w:val="it-IT" w:eastAsia="it-IT"/>
              </w:rPr>
              <w:t> </w:t>
            </w:r>
          </w:p>
        </w:tc>
        <w:tc>
          <w:tcPr>
            <w:tcW w:w="2122" w:type="dxa"/>
            <w:tcBorders>
              <w:top w:val="single" w:sz="4" w:space="0" w:color="auto"/>
              <w:left w:val="nil"/>
              <w:bottom w:val="single" w:sz="4" w:space="0" w:color="auto"/>
              <w:right w:val="nil"/>
            </w:tcBorders>
            <w:shd w:val="clear" w:color="auto" w:fill="auto"/>
            <w:noWrap/>
            <w:vAlign w:val="bottom"/>
            <w:hideMark/>
          </w:tcPr>
          <w:p w:rsidR="000E060C" w:rsidRPr="00FF17EC" w:rsidRDefault="00D3775E" w:rsidP="00D60B4E">
            <w:pPr>
              <w:keepNext/>
              <w:spacing w:after="0" w:line="240" w:lineRule="auto"/>
              <w:jc w:val="right"/>
              <w:rPr>
                <w:rFonts w:ascii="Calibri" w:hAnsi="Calibri" w:cs="Times New Roman"/>
                <w:b/>
                <w:bCs/>
                <w:color w:val="000000"/>
                <w:lang w:val="it-IT" w:eastAsia="it-IT"/>
              </w:rPr>
            </w:pPr>
            <w:r w:rsidRPr="00FF17EC">
              <w:rPr>
                <w:rFonts w:ascii="Calibri" w:hAnsi="Calibri" w:cs="Times New Roman"/>
                <w:b/>
                <w:bCs/>
                <w:color w:val="000000"/>
                <w:lang w:val="it-IT" w:eastAsia="it-IT"/>
              </w:rPr>
              <w:t>17%</w:t>
            </w:r>
            <w:r w:rsidR="000E060C" w:rsidRPr="00FF17EC">
              <w:rPr>
                <w:rFonts w:ascii="Calibri" w:hAnsi="Calibri" w:cs="Times New Roman"/>
                <w:b/>
                <w:bCs/>
                <w:color w:val="000000"/>
                <w:lang w:val="it-IT" w:eastAsia="it-IT"/>
              </w:rPr>
              <w:t xml:space="preserve"> </w:t>
            </w:r>
          </w:p>
        </w:tc>
      </w:tr>
      <w:tr w:rsidR="000E060C" w:rsidRPr="00FF17EC" w:rsidTr="00D60B4E">
        <w:trPr>
          <w:trHeight w:val="300"/>
        </w:trPr>
        <w:tc>
          <w:tcPr>
            <w:tcW w:w="4394" w:type="dxa"/>
            <w:gridSpan w:val="2"/>
            <w:tcBorders>
              <w:top w:val="nil"/>
              <w:left w:val="nil"/>
              <w:bottom w:val="nil"/>
              <w:right w:val="nil"/>
            </w:tcBorders>
            <w:shd w:val="clear" w:color="auto" w:fill="auto"/>
            <w:noWrap/>
            <w:vAlign w:val="bottom"/>
            <w:hideMark/>
          </w:tcPr>
          <w:p w:rsidR="000E060C" w:rsidRPr="00FF17EC" w:rsidRDefault="000E060C" w:rsidP="00634723">
            <w:pPr>
              <w:keepNext/>
              <w:spacing w:after="0" w:line="240" w:lineRule="auto"/>
              <w:jc w:val="right"/>
              <w:rPr>
                <w:rFonts w:ascii="Calibri" w:hAnsi="Calibri" w:cs="Times New Roman"/>
                <w:color w:val="000000"/>
                <w:lang w:val="en-US" w:eastAsia="it-IT"/>
              </w:rPr>
            </w:pPr>
            <w:r w:rsidRPr="00FF17EC">
              <w:rPr>
                <w:rFonts w:ascii="Calibri" w:hAnsi="Calibri" w:cs="Times New Roman"/>
                <w:color w:val="000000"/>
                <w:lang w:val="en-US" w:eastAsia="it-IT"/>
              </w:rPr>
              <w:t>* Data</w:t>
            </w:r>
            <w:r w:rsidR="00687088" w:rsidRPr="00FF17EC">
              <w:rPr>
                <w:rFonts w:ascii="Calibri" w:hAnsi="Calibri" w:cs="Times New Roman"/>
                <w:color w:val="000000"/>
                <w:lang w:val="en-US" w:eastAsia="it-IT"/>
              </w:rPr>
              <w:t xml:space="preserve"> </w:t>
            </w:r>
            <w:r w:rsidRPr="00FF17EC">
              <w:rPr>
                <w:rFonts w:ascii="Calibri" w:hAnsi="Calibri" w:cs="Times New Roman"/>
                <w:color w:val="000000"/>
                <w:lang w:val="en-US" w:eastAsia="it-IT"/>
              </w:rPr>
              <w:t>2001:</w:t>
            </w:r>
            <w:r w:rsidR="00687088" w:rsidRPr="00FF17EC">
              <w:rPr>
                <w:rFonts w:ascii="Calibri" w:hAnsi="Calibri" w:cs="Times New Roman"/>
                <w:color w:val="000000"/>
                <w:lang w:val="en-US" w:eastAsia="it-IT"/>
              </w:rPr>
              <w:t xml:space="preserve"> </w:t>
            </w:r>
            <w:r w:rsidRPr="00FF17EC">
              <w:rPr>
                <w:rFonts w:ascii="Calibri" w:hAnsi="Calibri" w:cs="Times New Roman"/>
                <w:color w:val="000000"/>
                <w:lang w:val="en-US" w:eastAsia="it-IT"/>
              </w:rPr>
              <w:t>older then 60 years</w:t>
            </w:r>
          </w:p>
        </w:tc>
        <w:tc>
          <w:tcPr>
            <w:tcW w:w="2122" w:type="dxa"/>
            <w:tcBorders>
              <w:top w:val="nil"/>
              <w:left w:val="nil"/>
              <w:bottom w:val="nil"/>
              <w:right w:val="nil"/>
            </w:tcBorders>
            <w:shd w:val="clear" w:color="auto" w:fill="auto"/>
            <w:noWrap/>
            <w:vAlign w:val="bottom"/>
            <w:hideMark/>
          </w:tcPr>
          <w:p w:rsidR="000E060C" w:rsidRPr="00FF17EC" w:rsidRDefault="000E060C" w:rsidP="00D60B4E">
            <w:pPr>
              <w:keepNext/>
              <w:spacing w:after="0" w:line="240" w:lineRule="auto"/>
              <w:jc w:val="right"/>
              <w:rPr>
                <w:rFonts w:ascii="Calibri" w:hAnsi="Calibri" w:cs="Times New Roman"/>
                <w:color w:val="000000"/>
                <w:lang w:val="en-US" w:eastAsia="it-IT"/>
              </w:rPr>
            </w:pPr>
          </w:p>
        </w:tc>
      </w:tr>
      <w:tr w:rsidR="000E060C" w:rsidRPr="00FF17EC" w:rsidTr="00D60B4E">
        <w:trPr>
          <w:trHeight w:val="300"/>
        </w:trPr>
        <w:tc>
          <w:tcPr>
            <w:tcW w:w="6516" w:type="dxa"/>
            <w:gridSpan w:val="3"/>
            <w:tcBorders>
              <w:top w:val="nil"/>
              <w:left w:val="nil"/>
              <w:bottom w:val="nil"/>
              <w:right w:val="nil"/>
            </w:tcBorders>
            <w:shd w:val="clear" w:color="auto" w:fill="auto"/>
            <w:noWrap/>
            <w:vAlign w:val="bottom"/>
            <w:hideMark/>
          </w:tcPr>
          <w:p w:rsidR="000E060C" w:rsidRPr="00FF17EC" w:rsidRDefault="000E060C" w:rsidP="000E060C">
            <w:pPr>
              <w:pStyle w:val="Caption"/>
              <w:rPr>
                <w:rFonts w:ascii="Calibri" w:hAnsi="Calibri" w:cs="Times New Roman"/>
                <w:color w:val="000000"/>
                <w:lang w:val="en-US" w:eastAsia="it-IT"/>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3</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3</w:t>
            </w:r>
            <w:r w:rsidR="00085686" w:rsidRPr="00FF17EC">
              <w:rPr>
                <w:sz w:val="22"/>
              </w:rPr>
              <w:fldChar w:fldCharType="end"/>
            </w:r>
            <w:r w:rsidRPr="00FF17EC">
              <w:rPr>
                <w:sz w:val="22"/>
              </w:rPr>
              <w:t xml:space="preserve"> Ageing dynamic (NIS, EUROSTAT)</w:t>
            </w:r>
          </w:p>
        </w:tc>
      </w:tr>
    </w:tbl>
    <w:p w:rsidR="00514CDE" w:rsidRPr="00FF17EC" w:rsidRDefault="00514CDE" w:rsidP="00766BB2"/>
    <w:p w:rsidR="00813493" w:rsidRPr="00FF17EC" w:rsidRDefault="00DA76AA" w:rsidP="00813493">
      <w:r w:rsidRPr="00FF17EC">
        <w:t xml:space="preserve">The aging of the population is significant but not homogenous in all territories (table </w:t>
      </w:r>
      <w:r w:rsidR="008320D1" w:rsidRPr="00FF17EC">
        <w:t xml:space="preserve">3.3). The share of </w:t>
      </w:r>
      <w:r w:rsidR="00813493" w:rsidRPr="00FF17EC">
        <w:t xml:space="preserve">elder population is lower in Romania then in Serbia, but the age structure is very heterogeneous in the eligible area. The </w:t>
      </w:r>
      <w:r w:rsidR="008320D1" w:rsidRPr="00FF17EC">
        <w:t>higher</w:t>
      </w:r>
      <w:r w:rsidR="00813493" w:rsidRPr="00FF17EC">
        <w:t xml:space="preserve"> indicators of ageing can be observed in the </w:t>
      </w:r>
      <w:r w:rsidR="00B730D4" w:rsidRPr="00FF17EC">
        <w:t>south east of the area, in Caraș-</w:t>
      </w:r>
      <w:r w:rsidR="00813493" w:rsidRPr="00FF17EC">
        <w:t xml:space="preserve">Severin and </w:t>
      </w:r>
      <w:r w:rsidR="0094364C" w:rsidRPr="00FF17EC">
        <w:t>Mehedinți</w:t>
      </w:r>
      <w:r w:rsidR="00813493" w:rsidRPr="00FF17EC">
        <w:t xml:space="preserve"> in </w:t>
      </w:r>
      <w:r w:rsidR="00B730D4" w:rsidRPr="00FF17EC">
        <w:t>Romania</w:t>
      </w:r>
      <w:r w:rsidR="00813493" w:rsidRPr="00FF17EC">
        <w:t>, and Braničevski and</w:t>
      </w:r>
      <w:r w:rsidR="00687088" w:rsidRPr="00FF17EC">
        <w:t xml:space="preserve"> </w:t>
      </w:r>
      <w:r w:rsidR="00813493" w:rsidRPr="00FF17EC">
        <w:t xml:space="preserve">Borski in Serbia. In these areas the indicator is higher than the national and European average. In </w:t>
      </w:r>
      <w:r w:rsidR="007A11B3" w:rsidRPr="00FF17EC">
        <w:t>Timiș</w:t>
      </w:r>
      <w:r w:rsidR="00813493" w:rsidRPr="00FF17EC">
        <w:t xml:space="preserve"> county the indicator is the lowest, much lower than the EU average.</w:t>
      </w:r>
    </w:p>
    <w:p w:rsidR="00DA76AA" w:rsidRPr="00FF17EC" w:rsidRDefault="00813493" w:rsidP="00813493">
      <w:r w:rsidRPr="00FF17EC">
        <w:t xml:space="preserve">In the last ten years the aging indicators has remained stable, or </w:t>
      </w:r>
      <w:r w:rsidR="00F25BE5" w:rsidRPr="00FF17EC">
        <w:t>slightly increased.</w:t>
      </w:r>
      <w:r w:rsidRPr="00FF17EC">
        <w:t xml:space="preserve"> </w:t>
      </w:r>
    </w:p>
    <w:p w:rsidR="000E060C" w:rsidRPr="00FF17EC" w:rsidRDefault="00F25BE5" w:rsidP="00F25BE5">
      <w:r w:rsidRPr="00FF17EC">
        <w:t>In order to identify the capacity of the local communities</w:t>
      </w:r>
      <w:r w:rsidR="00687088" w:rsidRPr="00FF17EC">
        <w:t xml:space="preserve"> </w:t>
      </w:r>
      <w:r w:rsidRPr="00FF17EC">
        <w:t>to remain stable in the long term, and to estimate the impact on potential and needs</w:t>
      </w:r>
      <w:r w:rsidR="00687088" w:rsidRPr="00FF17EC">
        <w:t xml:space="preserve"> </w:t>
      </w:r>
      <w:r w:rsidRPr="00FF17EC">
        <w:t>due to the ageing process,</w:t>
      </w:r>
      <w:r w:rsidR="00687088" w:rsidRPr="00FF17EC">
        <w:t xml:space="preserve"> </w:t>
      </w:r>
      <w:r w:rsidRPr="00FF17EC">
        <w:t>a second indicator has been calculated, in the form of the ratio between the number of persons older than 65 years and th</w:t>
      </w:r>
      <w:r w:rsidR="00634723" w:rsidRPr="00FF17EC">
        <w:t>e number of children younger tha</w:t>
      </w:r>
      <w:r w:rsidRPr="00FF17EC">
        <w:t xml:space="preserve">n 14. </w:t>
      </w:r>
    </w:p>
    <w:p w:rsidR="00D04A86" w:rsidRPr="00FF17EC" w:rsidRDefault="00A33F43" w:rsidP="00766BB2">
      <w:r w:rsidRPr="00FF17EC">
        <w:t xml:space="preserve">The higher </w:t>
      </w:r>
      <w:r w:rsidR="00F25BE5" w:rsidRPr="00FF17EC">
        <w:t xml:space="preserve">the </w:t>
      </w:r>
      <w:r w:rsidRPr="00FF17EC">
        <w:t xml:space="preserve">indicator the worst is </w:t>
      </w:r>
      <w:r w:rsidR="00F25BE5" w:rsidRPr="00FF17EC">
        <w:t>the perspective of ageing. In the Serbian territory in all municipalities this indicator is higher than 1</w:t>
      </w:r>
      <w:r w:rsidRPr="00FF17EC">
        <w:t>, meaning</w:t>
      </w:r>
      <w:r w:rsidR="00F25BE5" w:rsidRPr="00FF17EC">
        <w:t xml:space="preserve"> that there is more than one person older than 65 per each children younger than 14, and the situation is worst in the South where in most of the municipalities the indicator is higher than 1,5. In Romania the indicator signals a stronger </w:t>
      </w:r>
      <w:r w:rsidR="00F25BE5" w:rsidRPr="00FF17EC">
        <w:lastRenderedPageBreak/>
        <w:t xml:space="preserve">heterogeneity, with municipalities in the South, and in the rural areas, where the indicator reaches levels higher then 2,5, and some towns especially in the North and also the larger centres in the South, where the indicator is lower than 1. </w:t>
      </w:r>
    </w:p>
    <w:p w:rsidR="003B1322" w:rsidRPr="00FF17EC" w:rsidRDefault="002F00B8" w:rsidP="00744986">
      <w:pPr>
        <w:keepNext/>
        <w:keepLines/>
      </w:pPr>
      <w:r w:rsidRPr="00FF17EC">
        <w:rPr>
          <w:noProof/>
          <w:bdr w:val="single" w:sz="4" w:space="0" w:color="auto"/>
          <w:lang w:eastAsia="en-GB"/>
        </w:rPr>
        <w:drawing>
          <wp:inline distT="0" distB="0" distL="0" distR="0">
            <wp:extent cx="4813005" cy="3406056"/>
            <wp:effectExtent l="19050" t="0" r="6645" b="0"/>
            <wp:docPr id="2" name="Immagine 1" descr="01_Dens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Density.jpg"/>
                    <pic:cNvPicPr/>
                  </pic:nvPicPr>
                  <pic:blipFill>
                    <a:blip r:embed="rId22"/>
                    <a:stretch>
                      <a:fillRect/>
                    </a:stretch>
                  </pic:blipFill>
                  <pic:spPr>
                    <a:xfrm>
                      <a:off x="0" y="0"/>
                      <a:ext cx="4812506" cy="3405703"/>
                    </a:xfrm>
                    <a:prstGeom prst="rect">
                      <a:avLst/>
                    </a:prstGeom>
                  </pic:spPr>
                </pic:pic>
              </a:graphicData>
            </a:graphic>
          </wp:inline>
        </w:drawing>
      </w:r>
    </w:p>
    <w:p w:rsidR="00477D64" w:rsidRPr="00FF17EC" w:rsidRDefault="00CA6A29" w:rsidP="00CA6A29">
      <w:pPr>
        <w:pStyle w:val="Caption"/>
        <w:jc w:val="center"/>
        <w:rPr>
          <w:sz w:val="22"/>
          <w:szCs w:val="20"/>
        </w:rPr>
      </w:pPr>
      <w:r w:rsidRPr="00FF17EC">
        <w:rPr>
          <w:sz w:val="22"/>
          <w:szCs w:val="20"/>
        </w:rPr>
        <w:t xml:space="preserve">Map </w:t>
      </w:r>
      <w:r w:rsidR="00085686" w:rsidRPr="00FF17EC">
        <w:rPr>
          <w:sz w:val="22"/>
          <w:szCs w:val="20"/>
        </w:rPr>
        <w:fldChar w:fldCharType="begin"/>
      </w:r>
      <w:r w:rsidRPr="00FF17EC">
        <w:rPr>
          <w:sz w:val="22"/>
          <w:szCs w:val="20"/>
        </w:rPr>
        <w:instrText xml:space="preserve"> STYLEREF 1 \s </w:instrText>
      </w:r>
      <w:r w:rsidR="00085686" w:rsidRPr="00FF17EC">
        <w:rPr>
          <w:sz w:val="22"/>
          <w:szCs w:val="20"/>
        </w:rPr>
        <w:fldChar w:fldCharType="separate"/>
      </w:r>
      <w:r w:rsidR="009737E5">
        <w:rPr>
          <w:noProof/>
          <w:sz w:val="22"/>
          <w:szCs w:val="20"/>
        </w:rPr>
        <w:t>3</w:t>
      </w:r>
      <w:r w:rsidR="00085686" w:rsidRPr="00FF17EC">
        <w:rPr>
          <w:sz w:val="22"/>
          <w:szCs w:val="20"/>
        </w:rPr>
        <w:fldChar w:fldCharType="end"/>
      </w:r>
      <w:r w:rsidRPr="00FF17EC">
        <w:rPr>
          <w:sz w:val="22"/>
          <w:szCs w:val="20"/>
        </w:rPr>
        <w:noBreakHyphen/>
      </w:r>
      <w:r w:rsidR="00085686" w:rsidRPr="00FF17EC">
        <w:rPr>
          <w:sz w:val="22"/>
          <w:szCs w:val="20"/>
        </w:rPr>
        <w:fldChar w:fldCharType="begin"/>
      </w:r>
      <w:r w:rsidRPr="00FF17EC">
        <w:rPr>
          <w:sz w:val="22"/>
          <w:szCs w:val="20"/>
        </w:rPr>
        <w:instrText xml:space="preserve"> SEQ Map \* ARABIC \s 1 </w:instrText>
      </w:r>
      <w:r w:rsidR="00085686" w:rsidRPr="00FF17EC">
        <w:rPr>
          <w:sz w:val="22"/>
          <w:szCs w:val="20"/>
        </w:rPr>
        <w:fldChar w:fldCharType="separate"/>
      </w:r>
      <w:r w:rsidR="009737E5">
        <w:rPr>
          <w:noProof/>
          <w:sz w:val="22"/>
          <w:szCs w:val="20"/>
        </w:rPr>
        <w:t>4</w:t>
      </w:r>
      <w:r w:rsidR="00085686" w:rsidRPr="00FF17EC">
        <w:rPr>
          <w:sz w:val="22"/>
          <w:szCs w:val="20"/>
        </w:rPr>
        <w:fldChar w:fldCharType="end"/>
      </w:r>
      <w:r w:rsidR="00FA0777" w:rsidRPr="00FF17EC">
        <w:rPr>
          <w:sz w:val="22"/>
          <w:szCs w:val="20"/>
        </w:rPr>
        <w:t xml:space="preserve"> </w:t>
      </w:r>
      <w:r w:rsidR="00A33F43" w:rsidRPr="00FF17EC">
        <w:rPr>
          <w:sz w:val="22"/>
          <w:szCs w:val="20"/>
        </w:rPr>
        <w:t>Ageing of</w:t>
      </w:r>
      <w:r w:rsidR="002E44CE" w:rsidRPr="00FF17EC">
        <w:rPr>
          <w:sz w:val="22"/>
          <w:szCs w:val="20"/>
        </w:rPr>
        <w:t xml:space="preserve"> population</w:t>
      </w:r>
    </w:p>
    <w:p w:rsidR="000E060C" w:rsidRPr="00FF17EC" w:rsidRDefault="000E060C" w:rsidP="000E060C">
      <w:r w:rsidRPr="00FF17EC">
        <w:t xml:space="preserve">All these phenomena signal an intensive process of structural transformation of the social and demographic structure of the programme area. The younger population and the young families are moving toward the urban poles, inside the eligible area in Romania, and in the neighbouring districts in Serbia. The aging of population, and the related decline of the number of active persons in the rural and remote areas, are changing the needs and the potential of these areas, increasing the economic dependency of these communities, </w:t>
      </w:r>
      <w:r w:rsidR="00A33F43" w:rsidRPr="00FF17EC">
        <w:t>and reducing</w:t>
      </w:r>
      <w:r w:rsidRPr="00FF17EC">
        <w:t xml:space="preserve"> </w:t>
      </w:r>
      <w:r w:rsidR="00A33F43" w:rsidRPr="00FF17EC">
        <w:t>the capacity</w:t>
      </w:r>
      <w:r w:rsidRPr="00FF17EC">
        <w:t xml:space="preserve"> of development.</w:t>
      </w:r>
      <w:r w:rsidR="00687088" w:rsidRPr="00FF17EC">
        <w:t xml:space="preserve"> </w:t>
      </w:r>
    </w:p>
    <w:p w:rsidR="00396246" w:rsidRPr="00FF17EC" w:rsidRDefault="00396246"/>
    <w:p w:rsidR="000D2782" w:rsidRPr="00FF17EC" w:rsidRDefault="000D2782"/>
    <w:p w:rsidR="000D2782" w:rsidRPr="00FF17EC" w:rsidRDefault="00EF6CF8">
      <w:r w:rsidRPr="00FF17EC">
        <w:br w:type="page"/>
      </w:r>
    </w:p>
    <w:p w:rsidR="000D2782" w:rsidRPr="00FF17EC" w:rsidRDefault="000D2782" w:rsidP="00A62261">
      <w:pPr>
        <w:pStyle w:val="Heading1"/>
      </w:pPr>
      <w:bookmarkStart w:id="15" w:name="_Toc378857137"/>
      <w:bookmarkStart w:id="16" w:name="_Toc383163925"/>
      <w:bookmarkStart w:id="17" w:name="_Toc383415704"/>
      <w:r w:rsidRPr="00FF17EC">
        <w:lastRenderedPageBreak/>
        <w:t>Economic structure and dynamic</w:t>
      </w:r>
      <w:bookmarkEnd w:id="15"/>
      <w:bookmarkEnd w:id="16"/>
      <w:bookmarkEnd w:id="17"/>
    </w:p>
    <w:tbl>
      <w:tblPr>
        <w:tblStyle w:val="TableGrid"/>
        <w:tblW w:w="0" w:type="auto"/>
        <w:tblLook w:val="04A0" w:firstRow="1" w:lastRow="0" w:firstColumn="1" w:lastColumn="0" w:noHBand="0" w:noVBand="1"/>
      </w:tblPr>
      <w:tblGrid>
        <w:gridCol w:w="9394"/>
      </w:tblGrid>
      <w:tr w:rsidR="000D2782" w:rsidRPr="00FF17EC" w:rsidTr="000D2782">
        <w:tc>
          <w:tcPr>
            <w:tcW w:w="9544" w:type="dxa"/>
          </w:tcPr>
          <w:p w:rsidR="000D2782" w:rsidRPr="00FF17EC" w:rsidRDefault="000D2782" w:rsidP="003F4CF1">
            <w:pPr>
              <w:pStyle w:val="ListParagraph"/>
              <w:numPr>
                <w:ilvl w:val="0"/>
                <w:numId w:val="26"/>
              </w:numPr>
            </w:pPr>
            <w:r w:rsidRPr="00FF17EC">
              <w:t xml:space="preserve">The economic development of the whole area, measured with the GDP per capita, is close to the national levels, but the </w:t>
            </w:r>
            <w:r w:rsidR="003F4CF1" w:rsidRPr="00FF17EC">
              <w:t>average</w:t>
            </w:r>
            <w:r w:rsidRPr="00FF17EC">
              <w:t xml:space="preserve"> is the result of strong dualism, specially between North and South </w:t>
            </w:r>
            <w:r w:rsidR="003F4CF1" w:rsidRPr="00FF17EC">
              <w:t>East</w:t>
            </w:r>
            <w:r w:rsidRPr="00FF17EC">
              <w:t>, on both sides of the border;</w:t>
            </w:r>
          </w:p>
          <w:p w:rsidR="000D2782" w:rsidRPr="00FF17EC" w:rsidRDefault="000D2782" w:rsidP="003F4CF1">
            <w:pPr>
              <w:pStyle w:val="ListParagraph"/>
              <w:numPr>
                <w:ilvl w:val="0"/>
                <w:numId w:val="26"/>
              </w:numPr>
            </w:pPr>
            <w:r w:rsidRPr="00FF17EC">
              <w:t>In Romania, in Timiș the GDP/pc is almost double than the national average, in Caraș Severin and Mehedinți</w:t>
            </w:r>
            <w:r w:rsidR="003F4CF1" w:rsidRPr="00FF17EC">
              <w:t xml:space="preserve"> </w:t>
            </w:r>
            <w:r w:rsidRPr="00FF17EC">
              <w:t>GDP /pc is 30% lower.</w:t>
            </w:r>
            <w:r w:rsidR="004B0E46" w:rsidRPr="00FF17EC">
              <w:t xml:space="preserve"> </w:t>
            </w:r>
          </w:p>
          <w:p w:rsidR="000D2782" w:rsidRPr="00FF17EC" w:rsidRDefault="000D2782" w:rsidP="003F4CF1">
            <w:pPr>
              <w:pStyle w:val="ListParagraph"/>
              <w:numPr>
                <w:ilvl w:val="0"/>
                <w:numId w:val="26"/>
              </w:numPr>
            </w:pPr>
            <w:r w:rsidRPr="00FF17EC">
              <w:t xml:space="preserve">In Serbia, in the </w:t>
            </w:r>
            <w:r w:rsidR="003F4CF1" w:rsidRPr="00FF17EC">
              <w:t>Vojvodina autonomous</w:t>
            </w:r>
            <w:r w:rsidRPr="00FF17EC">
              <w:t xml:space="preserve"> province the level of GDP </w:t>
            </w:r>
            <w:r w:rsidR="003F4CF1" w:rsidRPr="00FF17EC">
              <w:t>is almost</w:t>
            </w:r>
            <w:r w:rsidRPr="00FF17EC">
              <w:t xml:space="preserve"> at the level of Serbia average,</w:t>
            </w:r>
            <w:r w:rsidR="003F4CF1" w:rsidRPr="00FF17EC">
              <w:t xml:space="preserve"> while in</w:t>
            </w:r>
            <w:r w:rsidRPr="00FF17EC">
              <w:t xml:space="preserve"> Braničevski and Borski 40% </w:t>
            </w:r>
            <w:r w:rsidR="003F4CF1" w:rsidRPr="00FF17EC">
              <w:t xml:space="preserve">lower. </w:t>
            </w:r>
            <w:r w:rsidRPr="00FF17EC">
              <w:t>Among the Banat districts in Voiv</w:t>
            </w:r>
            <w:r w:rsidR="003F4CF1" w:rsidRPr="00FF17EC">
              <w:t xml:space="preserve">odina, the North lags behind </w:t>
            </w:r>
            <w:r w:rsidRPr="00FF17EC">
              <w:t>the others in terms of GDP per capita;</w:t>
            </w:r>
          </w:p>
          <w:p w:rsidR="000D2782" w:rsidRPr="00FF17EC" w:rsidRDefault="000D2782" w:rsidP="003F4CF1">
            <w:pPr>
              <w:pStyle w:val="ListParagraph"/>
              <w:numPr>
                <w:ilvl w:val="0"/>
                <w:numId w:val="26"/>
              </w:numPr>
            </w:pPr>
            <w:r w:rsidRPr="00FF17EC">
              <w:t>In the North, the growth pole of Timiș county generates an impact that extends beyond the borders, producing a potential for cross border interactions;</w:t>
            </w:r>
          </w:p>
          <w:p w:rsidR="000D2782" w:rsidRPr="00FF17EC" w:rsidRDefault="000D2782" w:rsidP="003F4CF1">
            <w:pPr>
              <w:pStyle w:val="ListParagraph"/>
              <w:numPr>
                <w:ilvl w:val="0"/>
                <w:numId w:val="26"/>
              </w:numPr>
              <w:rPr>
                <w:b/>
                <w:bCs/>
                <w:color w:val="FFFFFF"/>
                <w:sz w:val="32"/>
                <w:szCs w:val="32"/>
              </w:rPr>
            </w:pPr>
            <w:r w:rsidRPr="00FF17EC">
              <w:t>In the centre, and south east, the comparable level of GDP and the similar structure more bilateral partnership than unilateral flows.</w:t>
            </w:r>
          </w:p>
        </w:tc>
      </w:tr>
    </w:tbl>
    <w:p w:rsidR="000D2782" w:rsidRPr="00FF17EC" w:rsidRDefault="000D2782" w:rsidP="000D2782"/>
    <w:p w:rsidR="000D2782" w:rsidRPr="00FF17EC" w:rsidRDefault="000D2782" w:rsidP="000D2782">
      <w:r w:rsidRPr="00FF17EC">
        <w:t>The total GDP in the eligible area represents approximately 8% of the combined GDP of the two countries, in Romania less than 7%, in Serbia close to 12%.</w:t>
      </w:r>
      <w:r w:rsidR="004B0E46" w:rsidRPr="00FF17EC">
        <w:t xml:space="preserve"> </w:t>
      </w:r>
    </w:p>
    <w:p w:rsidR="000D2782" w:rsidRPr="00FF17EC" w:rsidRDefault="000D2782" w:rsidP="000D2782">
      <w:r w:rsidRPr="00FF17EC">
        <w:t>In both countries the GDP/pc in the eligible area is very close, but smaller than the national average.</w:t>
      </w:r>
      <w:r w:rsidR="004B0E46" w:rsidRPr="00FF17EC">
        <w:t xml:space="preserve"> </w:t>
      </w:r>
      <w:r w:rsidRPr="00FF17EC">
        <w:t xml:space="preserve">However, inside the area the local economic systems are very heterogeneous. </w:t>
      </w:r>
    </w:p>
    <w:p w:rsidR="000D2782" w:rsidRPr="00FF17EC" w:rsidRDefault="000D2782" w:rsidP="000D2782">
      <w:r w:rsidRPr="00FF17EC">
        <w:t>In the North, on both sides, are located some of the advanced and dynamic territories. In Romania, apart Bucharest, Timiș is the largest county per GDP,</w:t>
      </w:r>
      <w:r w:rsidR="00634723" w:rsidRPr="00FF17EC">
        <w:t xml:space="preserve"> </w:t>
      </w:r>
      <w:r w:rsidRPr="00FF17EC">
        <w:t>representing more than 4,5 % of the national total, with a growth between 1995 and 2005 of 1%. Caraș-Severin and Mehedinți represent percentages close to 1%, but their share has been declining in the same period, due to the weaker economic growth compared to the rest of the country (Graph 4.1).</w:t>
      </w:r>
    </w:p>
    <w:p w:rsidR="000D2782" w:rsidRPr="00FF17EC" w:rsidRDefault="000D2782" w:rsidP="000D2782">
      <w:r w:rsidRPr="00FF17EC">
        <w:t xml:space="preserve"> In Romania, in Timiș the GDP per capita is much larger than the national average, while in Caras-Severin and Mehedinți, in the mountain area, it is below that threshold. In the Serbian Territory, the Autonomous Province of Vojvodina (APV) has </w:t>
      </w:r>
      <w:r w:rsidR="003F4CF1" w:rsidRPr="00FF17EC">
        <w:t>always been</w:t>
      </w:r>
      <w:r w:rsidR="004B0E46" w:rsidRPr="00FF17EC">
        <w:t xml:space="preserve"> </w:t>
      </w:r>
      <w:r w:rsidRPr="00FF17EC">
        <w:t>among the most developed provinces of the country, and it remains, after Belgrade, the most prosperous region, with a GDP per capita above</w:t>
      </w:r>
      <w:r w:rsidR="004B0E46" w:rsidRPr="00FF17EC">
        <w:t xml:space="preserve"> </w:t>
      </w:r>
      <w:r w:rsidRPr="00FF17EC">
        <w:t xml:space="preserve">the national average. </w:t>
      </w:r>
    </w:p>
    <w:tbl>
      <w:tblPr>
        <w:tblW w:w="8058" w:type="dxa"/>
        <w:tblInd w:w="53" w:type="dxa"/>
        <w:tblCellMar>
          <w:left w:w="70" w:type="dxa"/>
          <w:right w:w="70" w:type="dxa"/>
        </w:tblCellMar>
        <w:tblLook w:val="04A0" w:firstRow="1" w:lastRow="0" w:firstColumn="1" w:lastColumn="0" w:noHBand="0" w:noVBand="1"/>
      </w:tblPr>
      <w:tblGrid>
        <w:gridCol w:w="1860"/>
        <w:gridCol w:w="798"/>
        <w:gridCol w:w="1080"/>
        <w:gridCol w:w="1080"/>
        <w:gridCol w:w="1080"/>
        <w:gridCol w:w="1080"/>
        <w:gridCol w:w="1080"/>
      </w:tblGrid>
      <w:tr w:rsidR="000D2782" w:rsidRPr="00FF17EC" w:rsidTr="00B730D4">
        <w:trPr>
          <w:trHeight w:val="285"/>
        </w:trPr>
        <w:tc>
          <w:tcPr>
            <w:tcW w:w="2658" w:type="dxa"/>
            <w:gridSpan w:val="2"/>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en-US"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en-US"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en-US"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en-US"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en-US"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en-US" w:eastAsia="it-IT"/>
              </w:rPr>
            </w:pPr>
          </w:p>
        </w:tc>
      </w:tr>
      <w:tr w:rsidR="000D2782" w:rsidRPr="00FF17EC" w:rsidTr="00B730D4">
        <w:trPr>
          <w:trHeight w:val="285"/>
        </w:trPr>
        <w:tc>
          <w:tcPr>
            <w:tcW w:w="1860" w:type="dxa"/>
            <w:tcBorders>
              <w:top w:val="single" w:sz="4" w:space="0" w:color="auto"/>
              <w:bottom w:val="single" w:sz="4" w:space="0" w:color="auto"/>
            </w:tcBorders>
            <w:shd w:val="clear" w:color="auto" w:fill="auto"/>
            <w:noWrap/>
            <w:vAlign w:val="bottom"/>
            <w:hideMark/>
          </w:tcPr>
          <w:p w:rsidR="000D2782" w:rsidRPr="00FF17EC" w:rsidRDefault="000D2782" w:rsidP="000D2782">
            <w:pPr>
              <w:keepNext/>
              <w:spacing w:after="0" w:line="240" w:lineRule="auto"/>
              <w:jc w:val="left"/>
              <w:rPr>
                <w:rFonts w:cs="Arial"/>
                <w:lang w:val="en-US" w:eastAsia="it-IT"/>
              </w:rPr>
            </w:pPr>
            <w:r w:rsidRPr="00FF17EC">
              <w:rPr>
                <w:rFonts w:cs="Arial"/>
                <w:lang w:val="en-US" w:eastAsia="it-IT"/>
              </w:rPr>
              <w:t> </w:t>
            </w:r>
          </w:p>
        </w:tc>
        <w:tc>
          <w:tcPr>
            <w:tcW w:w="798" w:type="dxa"/>
            <w:tcBorders>
              <w:top w:val="single" w:sz="4" w:space="0" w:color="auto"/>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2007</w:t>
            </w:r>
          </w:p>
        </w:tc>
        <w:tc>
          <w:tcPr>
            <w:tcW w:w="1080" w:type="dxa"/>
            <w:tcBorders>
              <w:top w:val="single" w:sz="4" w:space="0" w:color="auto"/>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2008</w:t>
            </w:r>
          </w:p>
        </w:tc>
        <w:tc>
          <w:tcPr>
            <w:tcW w:w="1080" w:type="dxa"/>
            <w:tcBorders>
              <w:top w:val="single" w:sz="4" w:space="0" w:color="auto"/>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2009</w:t>
            </w:r>
          </w:p>
        </w:tc>
        <w:tc>
          <w:tcPr>
            <w:tcW w:w="1080" w:type="dxa"/>
            <w:tcBorders>
              <w:top w:val="single" w:sz="4" w:space="0" w:color="auto"/>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2010</w:t>
            </w:r>
          </w:p>
        </w:tc>
        <w:tc>
          <w:tcPr>
            <w:tcW w:w="1080" w:type="dxa"/>
            <w:tcBorders>
              <w:top w:val="single" w:sz="4" w:space="0" w:color="auto"/>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2011</w:t>
            </w:r>
          </w:p>
        </w:tc>
        <w:tc>
          <w:tcPr>
            <w:tcW w:w="1080" w:type="dxa"/>
            <w:tcBorders>
              <w:top w:val="single" w:sz="4" w:space="0" w:color="auto"/>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2012</w:t>
            </w:r>
          </w:p>
        </w:tc>
      </w:tr>
      <w:tr w:rsidR="000D2782" w:rsidRPr="00FF17EC" w:rsidTr="00B730D4">
        <w:trPr>
          <w:trHeight w:val="285"/>
        </w:trPr>
        <w:tc>
          <w:tcPr>
            <w:tcW w:w="1860" w:type="dxa"/>
            <w:tcBorders>
              <w:top w:val="single" w:sz="4" w:space="0" w:color="auto"/>
              <w:left w:val="nil"/>
              <w:bottom w:val="nil"/>
              <w:right w:val="nil"/>
            </w:tcBorders>
            <w:shd w:val="clear" w:color="auto" w:fill="auto"/>
            <w:noWrap/>
            <w:vAlign w:val="bottom"/>
            <w:hideMark/>
          </w:tcPr>
          <w:p w:rsidR="000D2782" w:rsidRPr="00FF17EC" w:rsidRDefault="007A11B3" w:rsidP="000D2782">
            <w:pPr>
              <w:keepNext/>
              <w:spacing w:after="0" w:line="240" w:lineRule="auto"/>
              <w:jc w:val="left"/>
              <w:rPr>
                <w:rFonts w:cs="Arial"/>
                <w:lang w:val="it-IT" w:eastAsia="it-IT"/>
              </w:rPr>
            </w:pPr>
            <w:r w:rsidRPr="00FF17EC">
              <w:rPr>
                <w:rFonts w:cs="Arial"/>
                <w:lang w:val="it-IT" w:eastAsia="it-IT"/>
              </w:rPr>
              <w:t>Timiș</w:t>
            </w:r>
          </w:p>
        </w:tc>
        <w:tc>
          <w:tcPr>
            <w:tcW w:w="798" w:type="dxa"/>
            <w:tcBorders>
              <w:top w:val="single" w:sz="4" w:space="0" w:color="auto"/>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7.940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9.410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7.884</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8.880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9.343</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0</w:t>
            </w: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Caras Severin</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4.852</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5.147</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4.704</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4.959</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4.787</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0</w:t>
            </w: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Mehedinti</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3.763</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4.071</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3.534</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3.535</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3.649</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0</w:t>
            </w: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b/>
                <w:lang w:val="it-IT" w:eastAsia="it-IT"/>
              </w:rPr>
            </w:pPr>
            <w:r w:rsidRPr="00FF17EC">
              <w:rPr>
                <w:rFonts w:cs="Arial"/>
                <w:b/>
                <w:lang w:val="it-IT" w:eastAsia="it-IT"/>
              </w:rPr>
              <w:t>Romania</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5.798</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6.507</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5.513</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5.814</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6.148</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0</w:t>
            </w: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Voivodina</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3.896</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4.280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4.335</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4.270</w:t>
            </w: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B730D4" w:rsidP="000D2782">
            <w:pPr>
              <w:keepNext/>
              <w:spacing w:after="0" w:line="240" w:lineRule="auto"/>
              <w:jc w:val="left"/>
              <w:rPr>
                <w:rFonts w:cs="Arial"/>
                <w:lang w:val="it-IT" w:eastAsia="it-IT"/>
              </w:rPr>
            </w:pPr>
            <w:r w:rsidRPr="00FF17EC">
              <w:t>South East Serbia</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2.586</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2.756</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2.795</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2.634</w:t>
            </w:r>
          </w:p>
        </w:tc>
      </w:tr>
      <w:tr w:rsidR="000D2782" w:rsidRPr="00FF17EC" w:rsidTr="00B730D4">
        <w:trPr>
          <w:trHeight w:val="285"/>
        </w:trPr>
        <w:tc>
          <w:tcPr>
            <w:tcW w:w="186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b/>
                <w:lang w:val="it-IT" w:eastAsia="it-IT"/>
              </w:rPr>
            </w:pPr>
            <w:r w:rsidRPr="00FF17EC">
              <w:rPr>
                <w:rFonts w:cs="Arial"/>
                <w:b/>
                <w:lang w:val="it-IT" w:eastAsia="it-IT"/>
              </w:rPr>
              <w:t>Serbia</w:t>
            </w:r>
          </w:p>
        </w:tc>
        <w:tc>
          <w:tcPr>
            <w:tcW w:w="798"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0</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0</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4.098</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4.280</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4.335</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Arial"/>
                <w:b/>
                <w:lang w:val="it-IT" w:eastAsia="it-IT"/>
              </w:rPr>
            </w:pPr>
            <w:r w:rsidRPr="00FF17EC">
              <w:rPr>
                <w:rFonts w:cs="Arial"/>
                <w:b/>
                <w:lang w:val="it-IT" w:eastAsia="it-IT"/>
              </w:rPr>
              <w:t>4.155</w:t>
            </w: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EU27</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25.100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25.100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23.500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24.500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25.200</w:t>
            </w:r>
          </w:p>
        </w:tc>
        <w:tc>
          <w:tcPr>
            <w:tcW w:w="1080" w:type="dxa"/>
            <w:tcBorders>
              <w:top w:val="nil"/>
              <w:left w:val="nil"/>
              <w:bottom w:val="nil"/>
              <w:right w:val="nil"/>
            </w:tcBorders>
            <w:shd w:val="clear" w:color="auto" w:fill="auto"/>
            <w:noWrap/>
            <w:vAlign w:val="bottom"/>
            <w:hideMark/>
          </w:tcPr>
          <w:p w:rsidR="000D2782" w:rsidRPr="00FF17EC" w:rsidRDefault="008E5699" w:rsidP="000D2782">
            <w:pPr>
              <w:keepNext/>
              <w:spacing w:after="0" w:line="240" w:lineRule="auto"/>
              <w:jc w:val="right"/>
              <w:rPr>
                <w:rFonts w:cs="Arial"/>
                <w:lang w:val="it-IT" w:eastAsia="it-IT"/>
              </w:rPr>
            </w:pPr>
            <w:r>
              <w:rPr>
                <w:rFonts w:cs="Arial"/>
                <w:lang w:val="it-IT" w:eastAsia="it-IT"/>
              </w:rPr>
              <w:t>-</w:t>
            </w:r>
          </w:p>
        </w:tc>
      </w:tr>
      <w:tr w:rsidR="000D2782" w:rsidRPr="00FF17EC" w:rsidTr="00B730D4">
        <w:trPr>
          <w:trHeight w:val="285"/>
        </w:trPr>
        <w:tc>
          <w:tcPr>
            <w:tcW w:w="3738" w:type="dxa"/>
            <w:gridSpan w:val="3"/>
            <w:tcBorders>
              <w:top w:val="nil"/>
              <w:left w:val="single" w:sz="4" w:space="0" w:color="000000"/>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b/>
                <w:lang w:val="it-IT" w:eastAsia="it-IT"/>
              </w:rPr>
            </w:pPr>
            <w:r w:rsidRPr="00FF17EC">
              <w:rPr>
                <w:rFonts w:cs="Arial"/>
                <w:b/>
                <w:lang w:val="it-IT" w:eastAsia="it-IT"/>
              </w:rPr>
              <w:t>GDP per capita % on EU average</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b/>
                <w:lang w:val="it-IT" w:eastAsia="it-IT"/>
              </w:rPr>
            </w:pPr>
            <w:r w:rsidRPr="00FF17EC">
              <w:rPr>
                <w:rFonts w:cs="Arial"/>
                <w:b/>
                <w:lang w:val="it-IT" w:eastAsia="it-IT"/>
              </w:rPr>
              <w:t> </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b/>
                <w:lang w:val="it-IT" w:eastAsia="it-IT"/>
              </w:rPr>
            </w:pPr>
            <w:r w:rsidRPr="00FF17EC">
              <w:rPr>
                <w:rFonts w:cs="Arial"/>
                <w:b/>
                <w:lang w:val="it-IT" w:eastAsia="it-IT"/>
              </w:rPr>
              <w:t> </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b/>
                <w:lang w:val="it-IT" w:eastAsia="it-IT"/>
              </w:rPr>
            </w:pPr>
            <w:r w:rsidRPr="00FF17EC">
              <w:rPr>
                <w:rFonts w:cs="Arial"/>
                <w:b/>
                <w:lang w:val="it-IT" w:eastAsia="it-IT"/>
              </w:rPr>
              <w:t> </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b/>
                <w:lang w:val="it-IT" w:eastAsia="it-IT"/>
              </w:rPr>
            </w:pPr>
            <w:r w:rsidRPr="00FF17EC">
              <w:rPr>
                <w:rFonts w:cs="Arial"/>
                <w:b/>
                <w:lang w:val="it-IT" w:eastAsia="it-IT"/>
              </w:rPr>
              <w:t> </w:t>
            </w: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7A11B3" w:rsidP="000D2782">
            <w:pPr>
              <w:keepNext/>
              <w:spacing w:after="0" w:line="240" w:lineRule="auto"/>
              <w:jc w:val="left"/>
              <w:rPr>
                <w:rFonts w:cs="Arial"/>
                <w:lang w:val="it-IT" w:eastAsia="it-IT"/>
              </w:rPr>
            </w:pPr>
            <w:r w:rsidRPr="00FF17EC">
              <w:rPr>
                <w:rFonts w:cs="Arial"/>
                <w:lang w:val="it-IT" w:eastAsia="it-IT"/>
              </w:rPr>
              <w:t>Timiș</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32%</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37%</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34%</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36%</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37%</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Caras Severin</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19%</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21%</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20%</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19%</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Mehedinti</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15%</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16%</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15%</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14%</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14%</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Romania</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23%</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26%</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23%</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24%</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24%</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Voivodina</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17%</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17%</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17%</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r>
      <w:tr w:rsidR="000D2782" w:rsidRPr="00FF17EC" w:rsidTr="00B730D4">
        <w:trPr>
          <w:trHeight w:val="285"/>
        </w:trPr>
        <w:tc>
          <w:tcPr>
            <w:tcW w:w="1860" w:type="dxa"/>
            <w:tcBorders>
              <w:top w:val="nil"/>
              <w:left w:val="nil"/>
              <w:bottom w:val="nil"/>
              <w:right w:val="nil"/>
            </w:tcBorders>
            <w:shd w:val="clear" w:color="auto" w:fill="auto"/>
            <w:noWrap/>
            <w:vAlign w:val="bottom"/>
            <w:hideMark/>
          </w:tcPr>
          <w:p w:rsidR="000D2782" w:rsidRPr="00FF17EC" w:rsidRDefault="00B730D4" w:rsidP="000D2782">
            <w:pPr>
              <w:keepNext/>
              <w:spacing w:after="0" w:line="240" w:lineRule="auto"/>
              <w:jc w:val="left"/>
              <w:rPr>
                <w:rFonts w:cs="Arial"/>
                <w:lang w:val="it-IT" w:eastAsia="it-IT"/>
              </w:rPr>
            </w:pPr>
            <w:r w:rsidRPr="00FF17EC">
              <w:t>South East Serbia</w:t>
            </w:r>
          </w:p>
        </w:tc>
        <w:tc>
          <w:tcPr>
            <w:tcW w:w="798"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11%</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11%</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11%</w:t>
            </w:r>
          </w:p>
        </w:tc>
        <w:tc>
          <w:tcPr>
            <w:tcW w:w="108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p>
        </w:tc>
      </w:tr>
      <w:tr w:rsidR="000D2782" w:rsidRPr="00FF17EC" w:rsidTr="00B730D4">
        <w:trPr>
          <w:trHeight w:val="285"/>
        </w:trPr>
        <w:tc>
          <w:tcPr>
            <w:tcW w:w="186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Serbia</w:t>
            </w:r>
          </w:p>
        </w:tc>
        <w:tc>
          <w:tcPr>
            <w:tcW w:w="798"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 </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 </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17%</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17%</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Arial"/>
                <w:lang w:val="it-IT" w:eastAsia="it-IT"/>
              </w:rPr>
            </w:pPr>
            <w:r w:rsidRPr="00FF17EC">
              <w:rPr>
                <w:rFonts w:cs="Arial"/>
                <w:lang w:val="it-IT" w:eastAsia="it-IT"/>
              </w:rPr>
              <w:t>17%</w:t>
            </w:r>
          </w:p>
        </w:tc>
        <w:tc>
          <w:tcPr>
            <w:tcW w:w="108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left"/>
              <w:rPr>
                <w:rFonts w:cs="Arial"/>
                <w:lang w:val="it-IT" w:eastAsia="it-IT"/>
              </w:rPr>
            </w:pPr>
            <w:r w:rsidRPr="00FF17EC">
              <w:rPr>
                <w:rFonts w:cs="Arial"/>
                <w:lang w:val="it-IT" w:eastAsia="it-IT"/>
              </w:rPr>
              <w:t> </w:t>
            </w:r>
          </w:p>
        </w:tc>
      </w:tr>
    </w:tbl>
    <w:p w:rsidR="000D2782" w:rsidRPr="00FF17EC" w:rsidRDefault="000D2782" w:rsidP="00F21D79">
      <w:pPr>
        <w:pStyle w:val="Caption"/>
        <w:spacing w:before="120"/>
        <w:rPr>
          <w:rFonts w:cs="Arial"/>
          <w:sz w:val="22"/>
          <w:lang w:val="en-US" w:eastAsia="it-IT"/>
        </w:rPr>
      </w:pPr>
      <w:r w:rsidRPr="00FF17EC">
        <w:rPr>
          <w:sz w:val="28"/>
          <w:lang w:val="en-US"/>
        </w:rPr>
        <w:t xml:space="preserve"> </w:t>
      </w:r>
      <w:r w:rsidRPr="00FF17EC">
        <w:rPr>
          <w:sz w:val="22"/>
          <w:lang w:val="en-US"/>
        </w:rPr>
        <w:t xml:space="preserve">Table </w:t>
      </w:r>
      <w:r w:rsidR="00085686" w:rsidRPr="00FF17EC">
        <w:rPr>
          <w:sz w:val="22"/>
          <w:lang w:val="en-US"/>
        </w:rPr>
        <w:fldChar w:fldCharType="begin"/>
      </w:r>
      <w:r w:rsidR="005C4AE7" w:rsidRPr="00FF17EC">
        <w:rPr>
          <w:sz w:val="22"/>
          <w:lang w:val="en-US"/>
        </w:rPr>
        <w:instrText xml:space="preserve"> STYLEREF 1 \s </w:instrText>
      </w:r>
      <w:r w:rsidR="00085686" w:rsidRPr="00FF17EC">
        <w:rPr>
          <w:sz w:val="22"/>
          <w:lang w:val="en-US"/>
        </w:rPr>
        <w:fldChar w:fldCharType="separate"/>
      </w:r>
      <w:r w:rsidR="009737E5">
        <w:rPr>
          <w:noProof/>
          <w:sz w:val="22"/>
          <w:lang w:val="en-US"/>
        </w:rPr>
        <w:t>4</w:t>
      </w:r>
      <w:r w:rsidR="00085686" w:rsidRPr="00FF17EC">
        <w:rPr>
          <w:sz w:val="22"/>
          <w:lang w:val="en-US"/>
        </w:rPr>
        <w:fldChar w:fldCharType="end"/>
      </w:r>
      <w:r w:rsidR="005C4AE7" w:rsidRPr="00FF17EC">
        <w:rPr>
          <w:sz w:val="22"/>
          <w:lang w:val="en-US"/>
        </w:rPr>
        <w:noBreakHyphen/>
      </w:r>
      <w:r w:rsidR="00085686" w:rsidRPr="00FF17EC">
        <w:rPr>
          <w:sz w:val="22"/>
          <w:lang w:val="en-US"/>
        </w:rPr>
        <w:fldChar w:fldCharType="begin"/>
      </w:r>
      <w:r w:rsidR="005C4AE7" w:rsidRPr="00FF17EC">
        <w:rPr>
          <w:sz w:val="22"/>
          <w:lang w:val="en-US"/>
        </w:rPr>
        <w:instrText xml:space="preserve"> SEQ Table \* ARABIC \s 1 </w:instrText>
      </w:r>
      <w:r w:rsidR="00085686" w:rsidRPr="00FF17EC">
        <w:rPr>
          <w:sz w:val="22"/>
          <w:lang w:val="en-US"/>
        </w:rPr>
        <w:fldChar w:fldCharType="separate"/>
      </w:r>
      <w:r w:rsidR="009737E5">
        <w:rPr>
          <w:noProof/>
          <w:sz w:val="22"/>
          <w:lang w:val="en-US"/>
        </w:rPr>
        <w:t>1</w:t>
      </w:r>
      <w:r w:rsidR="00085686" w:rsidRPr="00FF17EC">
        <w:rPr>
          <w:sz w:val="22"/>
          <w:lang w:val="en-US"/>
        </w:rPr>
        <w:fldChar w:fldCharType="end"/>
      </w:r>
      <w:r w:rsidRPr="00FF17EC">
        <w:rPr>
          <w:sz w:val="22"/>
          <w:lang w:val="en-US"/>
        </w:rPr>
        <w:t xml:space="preserve"> </w:t>
      </w:r>
      <w:r w:rsidRPr="00FF17EC">
        <w:rPr>
          <w:rFonts w:cs="Arial"/>
          <w:sz w:val="22"/>
          <w:lang w:val="en-US" w:eastAsia="it-IT"/>
        </w:rPr>
        <w:t>GDP per capita (NIS Serbia, Eurostat GDP at NUTS3 level)</w:t>
      </w:r>
    </w:p>
    <w:p w:rsidR="003F4CF1" w:rsidRPr="00FF17EC" w:rsidRDefault="003F4CF1" w:rsidP="003F4CF1">
      <w:pPr>
        <w:rPr>
          <w:lang w:val="en-US" w:eastAsia="it-IT"/>
        </w:rPr>
      </w:pPr>
    </w:p>
    <w:p w:rsidR="000D2782" w:rsidRPr="00FF17EC" w:rsidRDefault="000D2782" w:rsidP="000D2782">
      <w:r w:rsidRPr="00FF17EC">
        <w:t xml:space="preserve">On the other hand, the three Banat districts in the eligible area represented and still represent the less developed component of the AP Vojvodina. </w:t>
      </w:r>
      <w:r w:rsidR="003F4CF1" w:rsidRPr="00FF17EC">
        <w:t>Rough expert</w:t>
      </w:r>
      <w:r w:rsidRPr="00FF17EC">
        <w:t xml:space="preserve"> estimations of the GDP per capita of the three districts situate Banat from 15% to 20% below the provincial figure. According to </w:t>
      </w:r>
      <w:r w:rsidR="003F4CF1" w:rsidRPr="00FF17EC">
        <w:t>experts’</w:t>
      </w:r>
      <w:r w:rsidRPr="00FF17EC">
        <w:t xml:space="preserve"> opinion, </w:t>
      </w:r>
      <w:r w:rsidRPr="00FF17EC">
        <w:rPr>
          <w:lang w:val="en-US" w:eastAsia="it-IT"/>
        </w:rPr>
        <w:t>Severno-Banatski GDP is lower than that of the other Banat districts.</w:t>
      </w:r>
      <w:r w:rsidR="00634723" w:rsidRPr="00FF17EC">
        <w:rPr>
          <w:lang w:val="en-US" w:eastAsia="it-IT"/>
        </w:rPr>
        <w:t xml:space="preserve"> </w:t>
      </w:r>
      <w:r w:rsidR="007F0700" w:rsidRPr="00FF17EC">
        <w:rPr>
          <w:lang w:val="en-US" w:eastAsia="it-IT"/>
        </w:rPr>
        <w:t xml:space="preserve">Podunavski, </w:t>
      </w:r>
      <w:r w:rsidRPr="00FF17EC">
        <w:t>Braničevski and Borski districts lay even below this level.</w:t>
      </w:r>
      <w:r w:rsidR="004B0E46" w:rsidRPr="00FF17EC">
        <w:t xml:space="preserve"> </w:t>
      </w:r>
      <w:r w:rsidRPr="00FF17EC">
        <w:t xml:space="preserve">Compared to the EU average, the GDP per capita reaches the maximum in </w:t>
      </w:r>
      <w:r w:rsidR="007A11B3" w:rsidRPr="00FF17EC">
        <w:t>Timiș</w:t>
      </w:r>
      <w:r w:rsidRPr="00FF17EC">
        <w:t>, where it is the 37% of the EU level down to the 11% of the South East Serbia.</w:t>
      </w:r>
      <w:r w:rsidR="00634723" w:rsidRPr="00FF17EC">
        <w:t xml:space="preserve"> </w:t>
      </w:r>
    </w:p>
    <w:p w:rsidR="000D2782" w:rsidRPr="00FF17EC" w:rsidRDefault="000D2782" w:rsidP="000D2782"/>
    <w:p w:rsidR="000D2782" w:rsidRPr="00FF17EC" w:rsidRDefault="000D2782" w:rsidP="000D2782">
      <w:pPr>
        <w:jc w:val="center"/>
      </w:pPr>
      <w:r w:rsidRPr="00FF17EC">
        <w:rPr>
          <w:noProof/>
          <w:lang w:eastAsia="en-GB"/>
        </w:rPr>
        <w:lastRenderedPageBreak/>
        <w:drawing>
          <wp:inline distT="0" distB="0" distL="0" distR="0">
            <wp:extent cx="4594860" cy="3230880"/>
            <wp:effectExtent l="19050" t="0" r="0" b="0"/>
            <wp:docPr id="2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4594860" cy="3230880"/>
                    </a:xfrm>
                    <a:prstGeom prst="rect">
                      <a:avLst/>
                    </a:prstGeom>
                    <a:noFill/>
                  </pic:spPr>
                </pic:pic>
              </a:graphicData>
            </a:graphic>
          </wp:inline>
        </w:drawing>
      </w:r>
    </w:p>
    <w:p w:rsidR="000D2782" w:rsidRPr="00FF17EC" w:rsidRDefault="000D2782" w:rsidP="000D2782">
      <w:pPr>
        <w:pStyle w:val="Caption"/>
        <w:jc w:val="center"/>
        <w:rPr>
          <w:sz w:val="22"/>
        </w:rPr>
      </w:pPr>
      <w:r w:rsidRPr="00FF17EC">
        <w:rPr>
          <w:sz w:val="22"/>
        </w:rPr>
        <w:t xml:space="preserve">Graph </w:t>
      </w:r>
      <w:r w:rsidR="00085686" w:rsidRPr="00FF17EC">
        <w:rPr>
          <w:sz w:val="22"/>
        </w:rPr>
        <w:fldChar w:fldCharType="begin"/>
      </w:r>
      <w:r w:rsidRPr="00FF17EC">
        <w:rPr>
          <w:sz w:val="22"/>
        </w:rPr>
        <w:instrText xml:space="preserve"> STYLEREF 1 \s </w:instrText>
      </w:r>
      <w:r w:rsidR="00085686" w:rsidRPr="00FF17EC">
        <w:rPr>
          <w:sz w:val="22"/>
        </w:rPr>
        <w:fldChar w:fldCharType="separate"/>
      </w:r>
      <w:r w:rsidR="009737E5">
        <w:rPr>
          <w:noProof/>
          <w:sz w:val="22"/>
        </w:rPr>
        <w:t>4</w:t>
      </w:r>
      <w:r w:rsidR="00085686" w:rsidRPr="00FF17EC">
        <w:rPr>
          <w:sz w:val="22"/>
        </w:rPr>
        <w:fldChar w:fldCharType="end"/>
      </w:r>
      <w:r w:rsidRPr="00FF17EC">
        <w:rPr>
          <w:sz w:val="22"/>
        </w:rPr>
        <w:noBreakHyphen/>
      </w:r>
      <w:r w:rsidR="00085686" w:rsidRPr="00FF17EC">
        <w:rPr>
          <w:sz w:val="22"/>
        </w:rPr>
        <w:fldChar w:fldCharType="begin"/>
      </w:r>
      <w:r w:rsidRPr="00FF17EC">
        <w:rPr>
          <w:sz w:val="22"/>
        </w:rPr>
        <w:instrText xml:space="preserve"> SEQ Graph \* ARABIC \s 1 </w:instrText>
      </w:r>
      <w:r w:rsidR="00085686" w:rsidRPr="00FF17EC">
        <w:rPr>
          <w:sz w:val="22"/>
        </w:rPr>
        <w:fldChar w:fldCharType="separate"/>
      </w:r>
      <w:r w:rsidR="009737E5">
        <w:rPr>
          <w:noProof/>
          <w:sz w:val="22"/>
        </w:rPr>
        <w:t>1</w:t>
      </w:r>
      <w:r w:rsidR="00085686" w:rsidRPr="00FF17EC">
        <w:rPr>
          <w:sz w:val="22"/>
        </w:rPr>
        <w:fldChar w:fldCharType="end"/>
      </w:r>
      <w:r w:rsidRPr="00FF17EC">
        <w:rPr>
          <w:sz w:val="22"/>
        </w:rPr>
        <w:t xml:space="preserve"> GDP per capita, at county / district level</w:t>
      </w:r>
    </w:p>
    <w:p w:rsidR="00F21D79" w:rsidRPr="00FF17EC" w:rsidRDefault="00F21D79" w:rsidP="000D2782"/>
    <w:p w:rsidR="000D2782" w:rsidRPr="00FF17EC" w:rsidRDefault="000D2782" w:rsidP="000D2782">
      <w:r w:rsidRPr="00FF17EC">
        <w:t xml:space="preserve">The dynamic of the GDP per capita shows the impact of the global crisis in 2008 (grap 4.1). </w:t>
      </w:r>
    </w:p>
    <w:p w:rsidR="000D2782" w:rsidRPr="00FF17EC" w:rsidRDefault="000D2782" w:rsidP="000D2782">
      <w:r w:rsidRPr="00FF17EC">
        <w:t xml:space="preserve">The whole eligible area has been hit by the crisis, but the intensity of the impact, and the recovery in the next years, has been substantially different. </w:t>
      </w:r>
      <w:r w:rsidR="007A11B3" w:rsidRPr="00FF17EC">
        <w:t>Timiș</w:t>
      </w:r>
      <w:r w:rsidRPr="00FF17EC">
        <w:t xml:space="preserve"> County experienced the </w:t>
      </w:r>
      <w:r w:rsidR="001B59CA" w:rsidRPr="00FF17EC">
        <w:t>strongest slowdown</w:t>
      </w:r>
      <w:r w:rsidRPr="00FF17EC">
        <w:t xml:space="preserve"> in 2009, but at the same time it showed the strongest recovery in the next years, moving back to the pre-crisis levels in 2011. In all other counties and districts the impact of the crisis was lighter, but the recovery was sl</w:t>
      </w:r>
      <w:r w:rsidR="0094364C" w:rsidRPr="00FF17EC">
        <w:t>ower, to the point that in Caraș</w:t>
      </w:r>
      <w:r w:rsidRPr="00FF17EC">
        <w:t xml:space="preserve"> Severin and in </w:t>
      </w:r>
      <w:r w:rsidR="0094364C" w:rsidRPr="00FF17EC">
        <w:t>Mehedinți</w:t>
      </w:r>
      <w:r w:rsidRPr="00FF17EC">
        <w:t xml:space="preserve"> the GDP per capita is still lower then pre-crisis levels, while in South East Serbia a slight decline, down to the 2009 level, was estimated in 20</w:t>
      </w:r>
      <w:r w:rsidR="0066054F" w:rsidRPr="00FF17EC">
        <w:t>12</w:t>
      </w:r>
      <w:r w:rsidRPr="00FF17EC">
        <w:t>.</w:t>
      </w:r>
    </w:p>
    <w:p w:rsidR="000D2782" w:rsidRPr="00FF17EC" w:rsidRDefault="000D2782" w:rsidP="000D2782">
      <w:r w:rsidRPr="00FF17EC">
        <w:t xml:space="preserve">Information on sectorial </w:t>
      </w:r>
      <w:r w:rsidR="0094364C" w:rsidRPr="00FF17EC">
        <w:t>distribution of</w:t>
      </w:r>
      <w:r w:rsidRPr="00FF17EC">
        <w:t xml:space="preserve"> the GDP is not available at the level of districts and counties, </w:t>
      </w:r>
      <w:r w:rsidR="0094364C" w:rsidRPr="00FF17EC">
        <w:t>and can</w:t>
      </w:r>
      <w:r w:rsidRPr="00FF17EC">
        <w:t xml:space="preserve"> only be </w:t>
      </w:r>
      <w:r w:rsidR="0094364C" w:rsidRPr="00FF17EC">
        <w:t>estimated from</w:t>
      </w:r>
      <w:r w:rsidRPr="00FF17EC">
        <w:t xml:space="preserve"> secondary variables and indicators. </w:t>
      </w:r>
    </w:p>
    <w:p w:rsidR="000D2782" w:rsidRPr="00FF17EC" w:rsidRDefault="0094364C" w:rsidP="000D2782">
      <w:r w:rsidRPr="00FF17EC">
        <w:t>A relative</w:t>
      </w:r>
      <w:r w:rsidR="000D2782" w:rsidRPr="00FF17EC">
        <w:t xml:space="preserve"> concentration of the GDP in the industrial sectors</w:t>
      </w:r>
      <w:r w:rsidRPr="00FF17EC">
        <w:t>, compared</w:t>
      </w:r>
      <w:r w:rsidR="000D2782" w:rsidRPr="00FF17EC">
        <w:t xml:space="preserve"> to that average in </w:t>
      </w:r>
      <w:r w:rsidRPr="00FF17EC">
        <w:t>the two</w:t>
      </w:r>
      <w:r w:rsidR="000D2782" w:rsidRPr="00FF17EC">
        <w:t xml:space="preserve"> countries</w:t>
      </w:r>
      <w:r w:rsidRPr="00FF17EC">
        <w:t>, can</w:t>
      </w:r>
      <w:r w:rsidR="000D2782" w:rsidRPr="00FF17EC">
        <w:t xml:space="preserve"> be estimated, </w:t>
      </w:r>
      <w:r w:rsidRPr="00FF17EC">
        <w:t>especially</w:t>
      </w:r>
      <w:r w:rsidR="000D2782" w:rsidRPr="00FF17EC">
        <w:t xml:space="preserve"> due to the vigorous growth of industrial activities in the last </w:t>
      </w:r>
      <w:r w:rsidRPr="00FF17EC">
        <w:t>decade that</w:t>
      </w:r>
      <w:r w:rsidR="000D2782" w:rsidRPr="00FF17EC">
        <w:t xml:space="preserve"> led to almost doubling the GDP per capita. </w:t>
      </w:r>
    </w:p>
    <w:p w:rsidR="000D2782" w:rsidRPr="00FF17EC" w:rsidRDefault="000D2782" w:rsidP="000D2782">
      <w:r w:rsidRPr="00FF17EC">
        <w:lastRenderedPageBreak/>
        <w:t>The share of agricultural product is close to the national levels, but the absolute values are much diffe</w:t>
      </w:r>
      <w:r w:rsidR="007A11B3" w:rsidRPr="00FF17EC">
        <w:t>re</w:t>
      </w:r>
      <w:r w:rsidRPr="00FF17EC">
        <w:t xml:space="preserve">ntiated, with </w:t>
      </w:r>
      <w:r w:rsidR="0094364C" w:rsidRPr="00FF17EC">
        <w:t xml:space="preserve">large </w:t>
      </w:r>
      <w:r w:rsidR="007A11B3" w:rsidRPr="00FF17EC">
        <w:t>productions of</w:t>
      </w:r>
      <w:r w:rsidRPr="00FF17EC">
        <w:t xml:space="preserve"> intensive agriculture in the planes of </w:t>
      </w:r>
      <w:r w:rsidR="007A11B3" w:rsidRPr="00FF17EC">
        <w:t>Timiș</w:t>
      </w:r>
      <w:r w:rsidRPr="00FF17EC">
        <w:t xml:space="preserve"> and Banat.</w:t>
      </w:r>
    </w:p>
    <w:p w:rsidR="000D2782" w:rsidRPr="00FF17EC" w:rsidRDefault="000D2782" w:rsidP="000D2782">
      <w:r w:rsidRPr="00FF17EC">
        <w:t xml:space="preserve">Industrial </w:t>
      </w:r>
      <w:r w:rsidR="007A11B3" w:rsidRPr="00FF17EC">
        <w:t>production is</w:t>
      </w:r>
      <w:r w:rsidRPr="00FF17EC">
        <w:t xml:space="preserve"> relatively higher than the average in the two countries, as a result of strong specialization in traditional sectors and new clusters, especially in Timiș County.</w:t>
      </w:r>
    </w:p>
    <w:p w:rsidR="000D2782" w:rsidRPr="00FF17EC" w:rsidRDefault="000D2782" w:rsidP="000D2782">
      <w:r w:rsidRPr="00FF17EC">
        <w:t xml:space="preserve">Metal Mining activities are present in both countries but more relevant in Serbia, in the South Eastern part of the eligible territory. </w:t>
      </w:r>
    </w:p>
    <w:p w:rsidR="000D2782" w:rsidRPr="00FF17EC" w:rsidRDefault="000D2782" w:rsidP="000D2782">
      <w:r w:rsidRPr="00FF17EC">
        <w:t xml:space="preserve">Service production is concentrated in public and traditional sectors, advanced services, in research, and development, in transports, in higher education. A strong concentration of these activities can be noticed in the Timiș County. Higher </w:t>
      </w:r>
      <w:r w:rsidR="007A11B3" w:rsidRPr="00FF17EC">
        <w:t>level services</w:t>
      </w:r>
      <w:r w:rsidRPr="00FF17EC">
        <w:t xml:space="preserve"> are less </w:t>
      </w:r>
      <w:r w:rsidR="007A11B3" w:rsidRPr="00FF17EC">
        <w:t>present in</w:t>
      </w:r>
      <w:r w:rsidRPr="00FF17EC">
        <w:t xml:space="preserve"> the Serbian </w:t>
      </w:r>
      <w:r w:rsidR="007A11B3" w:rsidRPr="00FF17EC">
        <w:t>eligible area</w:t>
      </w:r>
      <w:r w:rsidRPr="00FF17EC">
        <w:t xml:space="preserve">, because of the proximity to the large </w:t>
      </w:r>
      <w:r w:rsidR="007A11B3" w:rsidRPr="00FF17EC">
        <w:t>urban poles</w:t>
      </w:r>
      <w:r w:rsidRPr="00FF17EC">
        <w:t>.</w:t>
      </w:r>
    </w:p>
    <w:p w:rsidR="000D2782" w:rsidRPr="00FF17EC" w:rsidRDefault="000D2782" w:rsidP="000D2782">
      <w:r w:rsidRPr="00FF17EC">
        <w:t xml:space="preserve">The commercial </w:t>
      </w:r>
      <w:r w:rsidR="007A11B3" w:rsidRPr="00FF17EC">
        <w:t>relations between</w:t>
      </w:r>
      <w:r w:rsidRPr="00FF17EC">
        <w:t xml:space="preserve"> Romania and </w:t>
      </w:r>
      <w:r w:rsidR="007A11B3" w:rsidRPr="00FF17EC">
        <w:t>Serbia show</w:t>
      </w:r>
      <w:r w:rsidRPr="00FF17EC">
        <w:t xml:space="preserve"> a balance in favour or Romania, that </w:t>
      </w:r>
      <w:r w:rsidR="007A11B3" w:rsidRPr="00FF17EC">
        <w:t>exports almost</w:t>
      </w:r>
      <w:r w:rsidRPr="00FF17EC">
        <w:t xml:space="preserve"> the triple than the value of imports from Serbia. However, Serbia is a minor commercial partner for Romania, ranking below the 15</w:t>
      </w:r>
      <w:r w:rsidRPr="00FF17EC">
        <w:rPr>
          <w:vertAlign w:val="superscript"/>
        </w:rPr>
        <w:t>th</w:t>
      </w:r>
      <w:r w:rsidRPr="00FF17EC">
        <w:t xml:space="preserve"> position for both the value of imports and exports. The importance </w:t>
      </w:r>
      <w:r w:rsidR="007A11B3" w:rsidRPr="00FF17EC">
        <w:t>of Romania</w:t>
      </w:r>
      <w:r w:rsidRPr="00FF17EC">
        <w:t xml:space="preserve"> in the Serbia external trade is higher, with Romania representing the 6</w:t>
      </w:r>
      <w:r w:rsidRPr="00FF17EC">
        <w:rPr>
          <w:vertAlign w:val="superscript"/>
        </w:rPr>
        <w:t>th</w:t>
      </w:r>
      <w:r w:rsidRPr="00FF17EC">
        <w:t xml:space="preserve"> </w:t>
      </w:r>
      <w:r w:rsidR="007A11B3" w:rsidRPr="00FF17EC">
        <w:t>most important</w:t>
      </w:r>
      <w:r w:rsidRPr="00FF17EC">
        <w:t xml:space="preserve"> </w:t>
      </w:r>
      <w:r w:rsidR="007A11B3" w:rsidRPr="00FF17EC">
        <w:t>export destination</w:t>
      </w:r>
      <w:r w:rsidRPr="00FF17EC">
        <w:t xml:space="preserve"> and the 5</w:t>
      </w:r>
      <w:r w:rsidRPr="00FF17EC">
        <w:rPr>
          <w:vertAlign w:val="superscript"/>
        </w:rPr>
        <w:t>th</w:t>
      </w:r>
      <w:r w:rsidRPr="00FF17EC">
        <w:t xml:space="preserve"> </w:t>
      </w:r>
      <w:r w:rsidR="007A11B3" w:rsidRPr="00FF17EC">
        <w:t>most important</w:t>
      </w:r>
      <w:r w:rsidRPr="00FF17EC">
        <w:t xml:space="preserve"> import origin. </w:t>
      </w:r>
    </w:p>
    <w:tbl>
      <w:tblPr>
        <w:tblW w:w="4540" w:type="dxa"/>
        <w:jc w:val="center"/>
        <w:tblCellMar>
          <w:left w:w="70" w:type="dxa"/>
          <w:right w:w="70" w:type="dxa"/>
        </w:tblCellMar>
        <w:tblLook w:val="04A0" w:firstRow="1" w:lastRow="0" w:firstColumn="1" w:lastColumn="0" w:noHBand="0" w:noVBand="1"/>
      </w:tblPr>
      <w:tblGrid>
        <w:gridCol w:w="1474"/>
        <w:gridCol w:w="1022"/>
        <w:gridCol w:w="1022"/>
        <w:gridCol w:w="1022"/>
      </w:tblGrid>
      <w:tr w:rsidR="000D2782" w:rsidRPr="00FF17EC" w:rsidTr="000D2782">
        <w:trPr>
          <w:trHeight w:val="300"/>
          <w:jc w:val="center"/>
        </w:trPr>
        <w:tc>
          <w:tcPr>
            <w:tcW w:w="4540" w:type="dxa"/>
            <w:gridSpan w:val="4"/>
            <w:tcBorders>
              <w:top w:val="nil"/>
              <w:left w:val="nil"/>
              <w:bottom w:val="nil"/>
              <w:right w:val="nil"/>
            </w:tcBorders>
            <w:shd w:val="clear" w:color="auto" w:fill="auto"/>
            <w:noWrap/>
            <w:vAlign w:val="bottom"/>
            <w:hideMark/>
          </w:tcPr>
          <w:p w:rsidR="000D2782" w:rsidRPr="00FF17EC" w:rsidRDefault="000D2782" w:rsidP="000D2782">
            <w:pPr>
              <w:spacing w:after="0" w:line="240" w:lineRule="auto"/>
              <w:jc w:val="left"/>
            </w:pPr>
            <w:r w:rsidRPr="00FF17EC">
              <w:t>Romania International</w:t>
            </w:r>
            <w:r w:rsidR="00634723" w:rsidRPr="00FF17EC">
              <w:t xml:space="preserve"> </w:t>
            </w:r>
            <w:r w:rsidRPr="00FF17EC">
              <w:t>Trade</w:t>
            </w:r>
            <w:r w:rsidR="004B0E46" w:rsidRPr="00FF17EC">
              <w:t xml:space="preserve"> </w:t>
            </w:r>
            <w:r w:rsidRPr="00FF17EC">
              <w:t>with</w:t>
            </w:r>
            <w:r w:rsidR="004B0E46" w:rsidRPr="00FF17EC">
              <w:t xml:space="preserve"> </w:t>
            </w:r>
            <w:r w:rsidRPr="00FF17EC">
              <w:t>Serbia</w:t>
            </w:r>
          </w:p>
        </w:tc>
      </w:tr>
      <w:tr w:rsidR="000D2782" w:rsidRPr="00FF17EC" w:rsidTr="000D2782">
        <w:trPr>
          <w:trHeight w:val="300"/>
          <w:jc w:val="center"/>
        </w:trPr>
        <w:tc>
          <w:tcPr>
            <w:tcW w:w="1474" w:type="dxa"/>
            <w:tcBorders>
              <w:top w:val="single" w:sz="4" w:space="0" w:color="auto"/>
              <w:left w:val="nil"/>
              <w:bottom w:val="single" w:sz="4" w:space="0" w:color="auto"/>
              <w:right w:val="nil"/>
            </w:tcBorders>
            <w:shd w:val="clear" w:color="auto" w:fill="auto"/>
            <w:noWrap/>
            <w:vAlign w:val="bottom"/>
            <w:hideMark/>
          </w:tcPr>
          <w:p w:rsidR="000D2782" w:rsidRPr="00FF17EC" w:rsidRDefault="000D2782" w:rsidP="000D2782">
            <w:pPr>
              <w:spacing w:after="0" w:line="240" w:lineRule="auto"/>
              <w:jc w:val="left"/>
            </w:pPr>
            <w:r w:rsidRPr="00FF17EC">
              <w:t> </w:t>
            </w:r>
          </w:p>
        </w:tc>
        <w:tc>
          <w:tcPr>
            <w:tcW w:w="1022" w:type="dxa"/>
            <w:tcBorders>
              <w:top w:val="single" w:sz="4" w:space="0" w:color="auto"/>
              <w:left w:val="nil"/>
              <w:bottom w:val="single" w:sz="4" w:space="0" w:color="auto"/>
              <w:right w:val="nil"/>
            </w:tcBorders>
            <w:shd w:val="clear" w:color="auto" w:fill="auto"/>
            <w:noWrap/>
            <w:vAlign w:val="bottom"/>
            <w:hideMark/>
          </w:tcPr>
          <w:p w:rsidR="000D2782" w:rsidRPr="00FF17EC" w:rsidRDefault="000D2782" w:rsidP="000D2782">
            <w:pPr>
              <w:spacing w:after="0" w:line="240" w:lineRule="auto"/>
              <w:jc w:val="right"/>
            </w:pPr>
            <w:r w:rsidRPr="00FF17EC">
              <w:t>2010</w:t>
            </w:r>
          </w:p>
        </w:tc>
        <w:tc>
          <w:tcPr>
            <w:tcW w:w="1022" w:type="dxa"/>
            <w:tcBorders>
              <w:top w:val="single" w:sz="4" w:space="0" w:color="auto"/>
              <w:left w:val="nil"/>
              <w:bottom w:val="single" w:sz="4" w:space="0" w:color="auto"/>
              <w:right w:val="nil"/>
            </w:tcBorders>
            <w:shd w:val="clear" w:color="auto" w:fill="auto"/>
            <w:noWrap/>
            <w:vAlign w:val="bottom"/>
            <w:hideMark/>
          </w:tcPr>
          <w:p w:rsidR="000D2782" w:rsidRPr="00FF17EC" w:rsidRDefault="000D2782" w:rsidP="000D2782">
            <w:pPr>
              <w:spacing w:after="0" w:line="240" w:lineRule="auto"/>
              <w:jc w:val="right"/>
            </w:pPr>
            <w:r w:rsidRPr="00FF17EC">
              <w:t>2011</w:t>
            </w:r>
          </w:p>
        </w:tc>
        <w:tc>
          <w:tcPr>
            <w:tcW w:w="1022" w:type="dxa"/>
            <w:tcBorders>
              <w:top w:val="single" w:sz="4" w:space="0" w:color="auto"/>
              <w:left w:val="nil"/>
              <w:bottom w:val="single" w:sz="4" w:space="0" w:color="auto"/>
              <w:right w:val="nil"/>
            </w:tcBorders>
            <w:shd w:val="clear" w:color="auto" w:fill="auto"/>
            <w:noWrap/>
            <w:vAlign w:val="bottom"/>
            <w:hideMark/>
          </w:tcPr>
          <w:p w:rsidR="000D2782" w:rsidRPr="00FF17EC" w:rsidRDefault="000D2782" w:rsidP="000D2782">
            <w:pPr>
              <w:spacing w:after="0" w:line="240" w:lineRule="auto"/>
              <w:jc w:val="right"/>
            </w:pPr>
            <w:r w:rsidRPr="00FF17EC">
              <w:t>2012</w:t>
            </w:r>
          </w:p>
        </w:tc>
      </w:tr>
      <w:tr w:rsidR="000D2782" w:rsidRPr="00FF17EC" w:rsidTr="000D2782">
        <w:trPr>
          <w:trHeight w:val="300"/>
          <w:jc w:val="center"/>
        </w:trPr>
        <w:tc>
          <w:tcPr>
            <w:tcW w:w="1474" w:type="dxa"/>
            <w:tcBorders>
              <w:top w:val="nil"/>
              <w:left w:val="nil"/>
              <w:bottom w:val="nil"/>
              <w:right w:val="nil"/>
            </w:tcBorders>
            <w:shd w:val="clear" w:color="auto" w:fill="auto"/>
            <w:noWrap/>
            <w:vAlign w:val="bottom"/>
            <w:hideMark/>
          </w:tcPr>
          <w:p w:rsidR="000D2782" w:rsidRPr="00FF17EC" w:rsidRDefault="000D2782" w:rsidP="000D2782">
            <w:pPr>
              <w:spacing w:after="0" w:line="240" w:lineRule="auto"/>
              <w:jc w:val="left"/>
            </w:pPr>
            <w:r w:rsidRPr="00FF17EC">
              <w:t>Import</w:t>
            </w:r>
          </w:p>
        </w:tc>
        <w:tc>
          <w:tcPr>
            <w:tcW w:w="1022" w:type="dxa"/>
            <w:tcBorders>
              <w:top w:val="nil"/>
              <w:left w:val="nil"/>
              <w:bottom w:val="nil"/>
              <w:right w:val="nil"/>
            </w:tcBorders>
            <w:shd w:val="clear" w:color="auto" w:fill="auto"/>
            <w:noWrap/>
            <w:vAlign w:val="bottom"/>
            <w:hideMark/>
          </w:tcPr>
          <w:p w:rsidR="000D2782" w:rsidRPr="00FF17EC" w:rsidRDefault="000D2782" w:rsidP="000D2782">
            <w:pPr>
              <w:spacing w:after="0" w:line="240" w:lineRule="auto"/>
              <w:jc w:val="right"/>
            </w:pPr>
            <w:r w:rsidRPr="00FF17EC">
              <w:t>253</w:t>
            </w:r>
          </w:p>
        </w:tc>
        <w:tc>
          <w:tcPr>
            <w:tcW w:w="1022" w:type="dxa"/>
            <w:tcBorders>
              <w:top w:val="nil"/>
              <w:left w:val="nil"/>
              <w:bottom w:val="nil"/>
              <w:right w:val="nil"/>
            </w:tcBorders>
            <w:shd w:val="clear" w:color="auto" w:fill="auto"/>
            <w:noWrap/>
            <w:vAlign w:val="bottom"/>
            <w:hideMark/>
          </w:tcPr>
          <w:p w:rsidR="000D2782" w:rsidRPr="00FF17EC" w:rsidRDefault="000D2782" w:rsidP="000D2782">
            <w:pPr>
              <w:spacing w:after="0" w:line="240" w:lineRule="auto"/>
              <w:jc w:val="right"/>
            </w:pPr>
            <w:r w:rsidRPr="00FF17EC">
              <w:t>283</w:t>
            </w:r>
          </w:p>
        </w:tc>
        <w:tc>
          <w:tcPr>
            <w:tcW w:w="1022" w:type="dxa"/>
            <w:tcBorders>
              <w:top w:val="nil"/>
              <w:left w:val="nil"/>
              <w:bottom w:val="nil"/>
              <w:right w:val="nil"/>
            </w:tcBorders>
            <w:shd w:val="clear" w:color="auto" w:fill="auto"/>
            <w:noWrap/>
            <w:vAlign w:val="bottom"/>
            <w:hideMark/>
          </w:tcPr>
          <w:p w:rsidR="000D2782" w:rsidRPr="00FF17EC" w:rsidRDefault="000D2782" w:rsidP="000D2782">
            <w:pPr>
              <w:spacing w:after="0" w:line="240" w:lineRule="auto"/>
              <w:jc w:val="right"/>
            </w:pPr>
            <w:r w:rsidRPr="00FF17EC">
              <w:t>225</w:t>
            </w:r>
          </w:p>
        </w:tc>
      </w:tr>
      <w:tr w:rsidR="000D2782" w:rsidRPr="00FF17EC" w:rsidTr="000D2782">
        <w:trPr>
          <w:trHeight w:val="300"/>
          <w:jc w:val="center"/>
        </w:trPr>
        <w:tc>
          <w:tcPr>
            <w:tcW w:w="1474" w:type="dxa"/>
            <w:tcBorders>
              <w:top w:val="nil"/>
              <w:left w:val="nil"/>
              <w:bottom w:val="single" w:sz="4" w:space="0" w:color="auto"/>
              <w:right w:val="nil"/>
            </w:tcBorders>
            <w:shd w:val="clear" w:color="auto" w:fill="auto"/>
            <w:noWrap/>
            <w:vAlign w:val="bottom"/>
            <w:hideMark/>
          </w:tcPr>
          <w:p w:rsidR="000D2782" w:rsidRPr="00FF17EC" w:rsidRDefault="00874F38" w:rsidP="000D2782">
            <w:pPr>
              <w:spacing w:after="0" w:line="240" w:lineRule="auto"/>
              <w:jc w:val="left"/>
            </w:pPr>
            <w:r w:rsidRPr="00FF17EC">
              <w:t>E</w:t>
            </w:r>
            <w:r w:rsidR="000D2782" w:rsidRPr="00FF17EC">
              <w:t xml:space="preserve">xports </w:t>
            </w:r>
          </w:p>
        </w:tc>
        <w:tc>
          <w:tcPr>
            <w:tcW w:w="1022" w:type="dxa"/>
            <w:tcBorders>
              <w:top w:val="nil"/>
              <w:left w:val="nil"/>
              <w:bottom w:val="single" w:sz="4" w:space="0" w:color="auto"/>
              <w:right w:val="nil"/>
            </w:tcBorders>
            <w:shd w:val="clear" w:color="auto" w:fill="auto"/>
            <w:noWrap/>
            <w:vAlign w:val="bottom"/>
            <w:hideMark/>
          </w:tcPr>
          <w:p w:rsidR="000D2782" w:rsidRPr="00FF17EC" w:rsidRDefault="000D2782" w:rsidP="000D2782">
            <w:pPr>
              <w:spacing w:after="0" w:line="240" w:lineRule="auto"/>
              <w:jc w:val="right"/>
            </w:pPr>
            <w:r w:rsidRPr="00FF17EC">
              <w:t>510</w:t>
            </w:r>
          </w:p>
        </w:tc>
        <w:tc>
          <w:tcPr>
            <w:tcW w:w="1022" w:type="dxa"/>
            <w:tcBorders>
              <w:top w:val="nil"/>
              <w:left w:val="nil"/>
              <w:bottom w:val="single" w:sz="4" w:space="0" w:color="auto"/>
              <w:right w:val="nil"/>
            </w:tcBorders>
            <w:shd w:val="clear" w:color="auto" w:fill="auto"/>
            <w:noWrap/>
            <w:vAlign w:val="bottom"/>
            <w:hideMark/>
          </w:tcPr>
          <w:p w:rsidR="000D2782" w:rsidRPr="00FF17EC" w:rsidRDefault="000D2782" w:rsidP="000D2782">
            <w:pPr>
              <w:spacing w:after="0" w:line="240" w:lineRule="auto"/>
              <w:jc w:val="right"/>
            </w:pPr>
            <w:r w:rsidRPr="00FF17EC">
              <w:t>737</w:t>
            </w:r>
          </w:p>
        </w:tc>
        <w:tc>
          <w:tcPr>
            <w:tcW w:w="1022"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pPr>
            <w:r w:rsidRPr="00FF17EC">
              <w:t>745</w:t>
            </w:r>
          </w:p>
        </w:tc>
      </w:tr>
    </w:tbl>
    <w:p w:rsidR="000D2782" w:rsidRPr="00FF17EC" w:rsidRDefault="007A11B3" w:rsidP="00F21D79">
      <w:pPr>
        <w:pStyle w:val="Caption"/>
        <w:spacing w:before="120"/>
        <w:jc w:val="center"/>
        <w:rPr>
          <w:sz w:val="22"/>
          <w:lang w:val="it-IT"/>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4</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2</w:t>
      </w:r>
      <w:r w:rsidR="00085686" w:rsidRPr="00FF17EC">
        <w:rPr>
          <w:sz w:val="22"/>
        </w:rPr>
        <w:fldChar w:fldCharType="end"/>
      </w:r>
      <w:r w:rsidR="000D2782" w:rsidRPr="00FF17EC">
        <w:rPr>
          <w:sz w:val="22"/>
          <w:lang w:val="it-IT"/>
        </w:rPr>
        <w:t xml:space="preserve"> Romania Serbia trade</w:t>
      </w:r>
    </w:p>
    <w:p w:rsidR="004B0E46" w:rsidRPr="00FF17EC" w:rsidRDefault="004B0E46" w:rsidP="004B0E46">
      <w:pPr>
        <w:rPr>
          <w:lang w:val="it-IT"/>
        </w:rPr>
      </w:pPr>
    </w:p>
    <w:p w:rsidR="004B0E46" w:rsidRPr="00FF17EC" w:rsidRDefault="004B0E46" w:rsidP="004B0E46">
      <w:pPr>
        <w:rPr>
          <w:lang w:val="it-IT"/>
        </w:rPr>
        <w:sectPr w:rsidR="004B0E46" w:rsidRPr="00FF17EC" w:rsidSect="00744986">
          <w:footerReference w:type="default" r:id="rId24"/>
          <w:pgSz w:w="12240" w:h="15840"/>
          <w:pgMar w:top="1843" w:right="1418" w:bottom="1701" w:left="1418" w:header="709" w:footer="338" w:gutter="0"/>
          <w:pgNumType w:start="1"/>
          <w:cols w:space="708"/>
          <w:noEndnote/>
          <w:docGrid w:linePitch="299"/>
        </w:sectPr>
      </w:pPr>
    </w:p>
    <w:p w:rsidR="004B0E46" w:rsidRPr="00FF17EC" w:rsidRDefault="004B0E46" w:rsidP="004B0E46">
      <w:pPr>
        <w:rPr>
          <w:lang w:val="it-IT"/>
        </w:rPr>
      </w:pPr>
    </w:p>
    <w:p w:rsidR="000D2782" w:rsidRPr="00FF17EC" w:rsidRDefault="000D2782" w:rsidP="000D2782">
      <w:pPr>
        <w:pStyle w:val="Heading2"/>
      </w:pPr>
      <w:bookmarkStart w:id="18" w:name="_Toc383163926"/>
      <w:bookmarkStart w:id="19" w:name="_Toc383415705"/>
      <w:r w:rsidRPr="00FF17EC">
        <w:t>The Economic sectors.</w:t>
      </w:r>
      <w:bookmarkEnd w:id="18"/>
      <w:bookmarkEnd w:id="19"/>
      <w:r w:rsidRPr="00FF17EC">
        <w:t xml:space="preserve"> </w:t>
      </w:r>
    </w:p>
    <w:tbl>
      <w:tblPr>
        <w:tblStyle w:val="TableGrid"/>
        <w:tblW w:w="0" w:type="auto"/>
        <w:tblLook w:val="04A0" w:firstRow="1" w:lastRow="0" w:firstColumn="1" w:lastColumn="0" w:noHBand="0" w:noVBand="1"/>
      </w:tblPr>
      <w:tblGrid>
        <w:gridCol w:w="9394"/>
      </w:tblGrid>
      <w:tr w:rsidR="000D2782" w:rsidRPr="00FF17EC" w:rsidTr="000D2782">
        <w:tc>
          <w:tcPr>
            <w:tcW w:w="9544" w:type="dxa"/>
          </w:tcPr>
          <w:p w:rsidR="004B0E46" w:rsidRPr="00FF17EC" w:rsidRDefault="000D2782" w:rsidP="002B61EE">
            <w:pPr>
              <w:pStyle w:val="ListParagraph"/>
              <w:keepNext/>
              <w:numPr>
                <w:ilvl w:val="0"/>
                <w:numId w:val="12"/>
              </w:numPr>
            </w:pPr>
            <w:r w:rsidRPr="00FF17EC">
              <w:t>Agriculture</w:t>
            </w:r>
            <w:r w:rsidR="004B0E46" w:rsidRPr="00FF17EC">
              <w:t xml:space="preserve"> </w:t>
            </w:r>
            <w:r w:rsidRPr="00FF17EC">
              <w:t>presents a very</w:t>
            </w:r>
            <w:r w:rsidR="00634723" w:rsidRPr="00FF17EC">
              <w:t xml:space="preserve"> </w:t>
            </w:r>
            <w:r w:rsidRPr="00FF17EC">
              <w:t>dualistic quality and quantity distribution</w:t>
            </w:r>
            <w:r w:rsidR="004B0E46" w:rsidRPr="00FF17EC">
              <w:t xml:space="preserve"> </w:t>
            </w:r>
            <w:r w:rsidRPr="00FF17EC">
              <w:t>of resources, and levels of productivity, between the planes of Banat and Timiș and Carpathian</w:t>
            </w:r>
            <w:r w:rsidR="004B0E46" w:rsidRPr="00FF17EC">
              <w:t xml:space="preserve"> </w:t>
            </w:r>
            <w:r w:rsidRPr="00FF17EC">
              <w:t>Mountains</w:t>
            </w:r>
            <w:r w:rsidR="004B0E46" w:rsidRPr="00FF17EC">
              <w:t xml:space="preserve"> </w:t>
            </w:r>
            <w:r w:rsidRPr="00FF17EC">
              <w:t xml:space="preserve">area; </w:t>
            </w:r>
          </w:p>
          <w:p w:rsidR="004B0E46" w:rsidRPr="00FF17EC" w:rsidRDefault="004B0E46" w:rsidP="002B61EE">
            <w:pPr>
              <w:pStyle w:val="ListParagraph"/>
              <w:keepNext/>
              <w:numPr>
                <w:ilvl w:val="0"/>
                <w:numId w:val="12"/>
              </w:numPr>
            </w:pPr>
            <w:r w:rsidRPr="00FF17EC">
              <w:t xml:space="preserve">Mining: </w:t>
            </w:r>
            <w:r w:rsidR="000D2782" w:rsidRPr="00FF17EC">
              <w:t>in metals, oil represents an historical specialization in the area, it experienced a sharp decline in the last decades because of structural</w:t>
            </w:r>
            <w:r w:rsidRPr="00FF17EC">
              <w:t xml:space="preserve"> </w:t>
            </w:r>
            <w:r w:rsidR="000D2782" w:rsidRPr="00FF17EC">
              <w:t>factors, quality and quantity of reserves,</w:t>
            </w:r>
            <w:r w:rsidRPr="00FF17EC">
              <w:t xml:space="preserve"> </w:t>
            </w:r>
            <w:r w:rsidR="000D2782" w:rsidRPr="00FF17EC">
              <w:t>and international competition of new producers;</w:t>
            </w:r>
          </w:p>
          <w:p w:rsidR="004B0E46" w:rsidRPr="00FF17EC" w:rsidRDefault="000D2782" w:rsidP="002B61EE">
            <w:pPr>
              <w:pStyle w:val="ListParagraph"/>
              <w:keepNext/>
              <w:numPr>
                <w:ilvl w:val="0"/>
                <w:numId w:val="12"/>
              </w:numPr>
            </w:pPr>
            <w:r w:rsidRPr="00FF17EC">
              <w:t>Energy: very large hydro electrical power</w:t>
            </w:r>
            <w:r w:rsidR="004B0E46" w:rsidRPr="00FF17EC">
              <w:t xml:space="preserve"> </w:t>
            </w:r>
            <w:r w:rsidRPr="00FF17EC">
              <w:t>capacity on the Danube centrals,</w:t>
            </w:r>
            <w:r w:rsidR="004B0E46" w:rsidRPr="00FF17EC">
              <w:t xml:space="preserve"> </w:t>
            </w:r>
            <w:r w:rsidRPr="00FF17EC">
              <w:t>and some small plants in the other rivers,</w:t>
            </w:r>
            <w:r w:rsidR="004B0E46" w:rsidRPr="00FF17EC">
              <w:t xml:space="preserve"> </w:t>
            </w:r>
            <w:r w:rsidRPr="00FF17EC">
              <w:t>some potential of development in renewable resources, in particular biomass in the central and south eastern areas.</w:t>
            </w:r>
            <w:r w:rsidR="00634723" w:rsidRPr="00FF17EC">
              <w:t xml:space="preserve"> </w:t>
            </w:r>
          </w:p>
          <w:p w:rsidR="004B0E46" w:rsidRPr="00FF17EC" w:rsidRDefault="000D2782" w:rsidP="002B61EE">
            <w:pPr>
              <w:pStyle w:val="ListParagraph"/>
              <w:keepNext/>
              <w:numPr>
                <w:ilvl w:val="0"/>
                <w:numId w:val="12"/>
              </w:numPr>
            </w:pPr>
            <w:r w:rsidRPr="00FF17EC">
              <w:t>Manufactures: traditional productions in large part of the eligible area;</w:t>
            </w:r>
            <w:r w:rsidR="004B0E46" w:rsidRPr="00FF17EC">
              <w:t xml:space="preserve"> </w:t>
            </w:r>
            <w:r w:rsidRPr="00FF17EC">
              <w:t xml:space="preserve">Strong growth of innovative sectors in recent years, due also to strong FDI flows both in Serbian and Romanian regions. </w:t>
            </w:r>
          </w:p>
          <w:p w:rsidR="000D2782" w:rsidRPr="00FF17EC" w:rsidRDefault="000D2782" w:rsidP="002B61EE">
            <w:pPr>
              <w:pStyle w:val="ListParagraph"/>
              <w:keepNext/>
              <w:numPr>
                <w:ilvl w:val="0"/>
                <w:numId w:val="12"/>
              </w:numPr>
            </w:pPr>
            <w:r w:rsidRPr="00FF17EC">
              <w:t>Services: Basic services in health, education, utilities commerce, transport, present in the area. Advanced services</w:t>
            </w:r>
            <w:r w:rsidR="004B0E46" w:rsidRPr="00FF17EC">
              <w:t xml:space="preserve"> </w:t>
            </w:r>
            <w:r w:rsidRPr="00FF17EC">
              <w:t xml:space="preserve">strongly concentrated in the urban poles in Timiș </w:t>
            </w:r>
            <w:r w:rsidR="004B0E46" w:rsidRPr="00FF17EC">
              <w:t>County</w:t>
            </w:r>
            <w:r w:rsidRPr="00FF17EC">
              <w:t xml:space="preserve"> in Romania, smaller centres, often connected to the leading institutions in Serbia.</w:t>
            </w:r>
          </w:p>
        </w:tc>
      </w:tr>
    </w:tbl>
    <w:p w:rsidR="000D2782" w:rsidRPr="00FF17EC" w:rsidRDefault="000D2782" w:rsidP="000D2782"/>
    <w:p w:rsidR="000D2782" w:rsidRPr="00FF17EC" w:rsidRDefault="000D2782" w:rsidP="000D2782">
      <w:pPr>
        <w:pStyle w:val="Heading3"/>
      </w:pPr>
      <w:bookmarkStart w:id="20" w:name="_Toc378857138"/>
      <w:r w:rsidRPr="00FF17EC">
        <w:t>Agriculture</w:t>
      </w:r>
      <w:bookmarkEnd w:id="20"/>
    </w:p>
    <w:p w:rsidR="000D2782" w:rsidRPr="00FF17EC" w:rsidRDefault="000D2782" w:rsidP="000D2782">
      <w:r w:rsidRPr="00FF17EC">
        <w:t>The agricultural sector and the activities connected to agriculture in the rural areas represent a major component of the local economy. There is a strong dualism between the planes in the North West, that hold a strong productive potential in intensive cultivations,</w:t>
      </w:r>
      <w:r w:rsidR="004B0E46" w:rsidRPr="00FF17EC">
        <w:t xml:space="preserve"> </w:t>
      </w:r>
      <w:r w:rsidRPr="00FF17EC">
        <w:t>and the mountains in the South East, with a minor share of cultivated land in extensive</w:t>
      </w:r>
      <w:r w:rsidR="004B0E46" w:rsidRPr="00FF17EC">
        <w:t xml:space="preserve"> </w:t>
      </w:r>
      <w:r w:rsidRPr="00FF17EC">
        <w:t>agricultural productions, and forestry.</w:t>
      </w:r>
    </w:p>
    <w:p w:rsidR="000D2782" w:rsidRPr="00FF17EC" w:rsidRDefault="002732E9" w:rsidP="000D2782">
      <w:pPr>
        <w:spacing w:after="0" w:line="240" w:lineRule="auto"/>
      </w:pPr>
      <w:r w:rsidRPr="00FF17EC">
        <w:rPr>
          <w:noProof/>
          <w:lang w:eastAsia="en-GB"/>
        </w:rPr>
        <w:lastRenderedPageBreak/>
        <w:drawing>
          <wp:inline distT="0" distB="0" distL="0" distR="0">
            <wp:extent cx="5760778" cy="4076700"/>
            <wp:effectExtent l="0" t="0" r="0" b="0"/>
            <wp:docPr id="30" name="Picture 30" descr="D:\cbc\TA Poduniavski\harti\Arable land_with Podunav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bc\TA Poduniavski\harti\Arable land_with Podunavski.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165" cy="4076267"/>
                    </a:xfrm>
                    <a:prstGeom prst="rect">
                      <a:avLst/>
                    </a:prstGeom>
                    <a:noFill/>
                    <a:ln>
                      <a:noFill/>
                    </a:ln>
                  </pic:spPr>
                </pic:pic>
              </a:graphicData>
            </a:graphic>
          </wp:inline>
        </w:drawing>
      </w:r>
    </w:p>
    <w:p w:rsidR="000D2782" w:rsidRPr="00FF17EC" w:rsidRDefault="000D2782" w:rsidP="00F21D79">
      <w:pPr>
        <w:pStyle w:val="Caption"/>
        <w:keepNext w:val="0"/>
        <w:spacing w:before="120" w:after="0" w:line="240" w:lineRule="auto"/>
        <w:rPr>
          <w:sz w:val="22"/>
        </w:rPr>
      </w:pPr>
      <w:r w:rsidRPr="00FF17EC">
        <w:rPr>
          <w:sz w:val="22"/>
        </w:rPr>
        <w:t xml:space="preserve">Map </w:t>
      </w:r>
      <w:r w:rsidR="00085686" w:rsidRPr="00FF17EC">
        <w:rPr>
          <w:sz w:val="22"/>
        </w:rPr>
        <w:fldChar w:fldCharType="begin"/>
      </w:r>
      <w:r w:rsidRPr="00FF17EC">
        <w:rPr>
          <w:sz w:val="22"/>
        </w:rPr>
        <w:instrText xml:space="preserve"> STYLEREF 1 \s </w:instrText>
      </w:r>
      <w:r w:rsidR="00085686" w:rsidRPr="00FF17EC">
        <w:rPr>
          <w:sz w:val="22"/>
        </w:rPr>
        <w:fldChar w:fldCharType="separate"/>
      </w:r>
      <w:r w:rsidR="009737E5">
        <w:rPr>
          <w:noProof/>
          <w:sz w:val="22"/>
        </w:rPr>
        <w:t>4</w:t>
      </w:r>
      <w:r w:rsidR="00085686" w:rsidRPr="00FF17EC">
        <w:rPr>
          <w:sz w:val="22"/>
        </w:rPr>
        <w:fldChar w:fldCharType="end"/>
      </w:r>
      <w:r w:rsidRPr="00FF17EC">
        <w:rPr>
          <w:sz w:val="22"/>
        </w:rPr>
        <w:noBreakHyphen/>
      </w:r>
      <w:r w:rsidR="00085686" w:rsidRPr="00FF17EC">
        <w:rPr>
          <w:sz w:val="22"/>
        </w:rPr>
        <w:fldChar w:fldCharType="begin"/>
      </w:r>
      <w:r w:rsidRPr="00FF17EC">
        <w:rPr>
          <w:sz w:val="22"/>
        </w:rPr>
        <w:instrText xml:space="preserve"> SEQ Map \* ARABIC \s 1 </w:instrText>
      </w:r>
      <w:r w:rsidR="00085686" w:rsidRPr="00FF17EC">
        <w:rPr>
          <w:sz w:val="22"/>
        </w:rPr>
        <w:fldChar w:fldCharType="separate"/>
      </w:r>
      <w:r w:rsidR="009737E5">
        <w:rPr>
          <w:noProof/>
          <w:sz w:val="22"/>
        </w:rPr>
        <w:t>1</w:t>
      </w:r>
      <w:r w:rsidR="00085686" w:rsidRPr="00FF17EC">
        <w:rPr>
          <w:sz w:val="22"/>
        </w:rPr>
        <w:fldChar w:fldCharType="end"/>
      </w:r>
      <w:r w:rsidRPr="00FF17EC">
        <w:rPr>
          <w:sz w:val="22"/>
        </w:rPr>
        <w:t xml:space="preserve"> Share of Agricultural land on total (NIS Romania and Serbia)</w:t>
      </w:r>
    </w:p>
    <w:p w:rsidR="004B0E46" w:rsidRPr="00FF17EC" w:rsidRDefault="004B0E46" w:rsidP="000D2782"/>
    <w:p w:rsidR="000D2782" w:rsidRPr="00FF17EC" w:rsidRDefault="000D2782" w:rsidP="000D2782">
      <w:r w:rsidRPr="00FF17EC">
        <w:t>Agricultural land occupies</w:t>
      </w:r>
      <w:r w:rsidR="004B0E46" w:rsidRPr="00FF17EC">
        <w:t xml:space="preserve"> </w:t>
      </w:r>
      <w:r w:rsidRPr="00FF17EC">
        <w:t>the largest share of the surface in the North on both sides of the border, while in the central and South East regions it represents less than 50%. (Map 5.1)</w:t>
      </w:r>
    </w:p>
    <w:p w:rsidR="000D2782" w:rsidRPr="00FF17EC" w:rsidRDefault="000D2782" w:rsidP="000D2782">
      <w:r w:rsidRPr="00FF17EC">
        <w:t>Strong dualism can be described also in land productivity</w:t>
      </w:r>
      <w:r w:rsidRPr="00FF17EC">
        <w:rPr>
          <w:rStyle w:val="FootnoteReference"/>
        </w:rPr>
        <w:footnoteReference w:id="11"/>
      </w:r>
      <w:r w:rsidRPr="00FF17EC">
        <w:t>, between the plains and the Carpathian Mountains.</w:t>
      </w:r>
      <w:r w:rsidR="004B0E46" w:rsidRPr="00FF17EC">
        <w:t xml:space="preserve"> </w:t>
      </w:r>
      <w:r w:rsidRPr="00FF17EC">
        <w:t xml:space="preserve">This leads to a strong differentiation of the land use between the areas in the North, including </w:t>
      </w:r>
      <w:r w:rsidR="007A11B3" w:rsidRPr="00FF17EC">
        <w:t>Timiș</w:t>
      </w:r>
      <w:r w:rsidRPr="00FF17EC">
        <w:t xml:space="preserve"> County and Banatski districts, and the Carpatian areas in</w:t>
      </w:r>
      <w:r w:rsidR="00185FA0" w:rsidRPr="00FF17EC">
        <w:t xml:space="preserve"> Braniceski and Borski,and Caraș</w:t>
      </w:r>
      <w:r w:rsidRPr="00FF17EC">
        <w:t xml:space="preserve"> Severin. </w:t>
      </w:r>
    </w:p>
    <w:p w:rsidR="000D2782" w:rsidRPr="00FF17EC" w:rsidRDefault="000D2782" w:rsidP="000D2782"/>
    <w:tbl>
      <w:tblPr>
        <w:tblW w:w="9417" w:type="dxa"/>
        <w:tblInd w:w="55" w:type="dxa"/>
        <w:tblLayout w:type="fixed"/>
        <w:tblCellMar>
          <w:left w:w="70" w:type="dxa"/>
          <w:right w:w="70" w:type="dxa"/>
        </w:tblCellMar>
        <w:tblLook w:val="04A0" w:firstRow="1" w:lastRow="0" w:firstColumn="1" w:lastColumn="0" w:noHBand="0" w:noVBand="1"/>
      </w:tblPr>
      <w:tblGrid>
        <w:gridCol w:w="1248"/>
        <w:gridCol w:w="1333"/>
        <w:gridCol w:w="1139"/>
        <w:gridCol w:w="1139"/>
        <w:gridCol w:w="1140"/>
        <w:gridCol w:w="1139"/>
        <w:gridCol w:w="1139"/>
        <w:gridCol w:w="1140"/>
      </w:tblGrid>
      <w:tr w:rsidR="000D2782" w:rsidRPr="00FF17EC" w:rsidTr="0049076F">
        <w:trPr>
          <w:trHeight w:val="855"/>
        </w:trPr>
        <w:tc>
          <w:tcPr>
            <w:tcW w:w="1248" w:type="dxa"/>
            <w:tcBorders>
              <w:top w:val="single" w:sz="4" w:space="0" w:color="auto"/>
              <w:left w:val="nil"/>
              <w:bottom w:val="single" w:sz="4" w:space="0" w:color="auto"/>
              <w:right w:val="nil"/>
            </w:tcBorders>
            <w:shd w:val="clear" w:color="auto" w:fill="auto"/>
            <w:vAlign w:val="bottom"/>
            <w:hideMark/>
          </w:tcPr>
          <w:p w:rsidR="000D2782" w:rsidRPr="00FF17EC" w:rsidRDefault="000D2782" w:rsidP="000D2782">
            <w:pPr>
              <w:keepNext/>
              <w:spacing w:after="0" w:line="240" w:lineRule="auto"/>
              <w:jc w:val="right"/>
              <w:rPr>
                <w:rFonts w:cs="Times New Roman"/>
                <w:b/>
                <w:bCs/>
                <w:i/>
                <w:iCs/>
                <w:lang w:val="en-US" w:eastAsia="it-IT"/>
              </w:rPr>
            </w:pPr>
            <w:r w:rsidRPr="00FF17EC">
              <w:rPr>
                <w:rFonts w:cs="Times New Roman"/>
                <w:b/>
                <w:bCs/>
                <w:i/>
                <w:iCs/>
                <w:lang w:val="en-US" w:eastAsia="it-IT"/>
              </w:rPr>
              <w:lastRenderedPageBreak/>
              <w:t> </w:t>
            </w:r>
          </w:p>
        </w:tc>
        <w:tc>
          <w:tcPr>
            <w:tcW w:w="1333" w:type="dxa"/>
            <w:tcBorders>
              <w:top w:val="single" w:sz="4" w:space="0" w:color="auto"/>
              <w:left w:val="nil"/>
              <w:bottom w:val="single" w:sz="4" w:space="0" w:color="auto"/>
              <w:right w:val="nil"/>
            </w:tcBorders>
            <w:shd w:val="clear" w:color="auto" w:fill="auto"/>
            <w:vAlign w:val="bottom"/>
            <w:hideMark/>
          </w:tcPr>
          <w:p w:rsidR="000D2782" w:rsidRPr="00FF17EC" w:rsidRDefault="000D2782" w:rsidP="000D2782">
            <w:pPr>
              <w:keepNext/>
              <w:spacing w:after="0" w:line="240" w:lineRule="auto"/>
              <w:jc w:val="right"/>
              <w:rPr>
                <w:rFonts w:cs="Times New Roman"/>
                <w:b/>
                <w:bCs/>
                <w:i/>
                <w:iCs/>
                <w:lang w:val="it-IT" w:eastAsia="it-IT"/>
              </w:rPr>
            </w:pPr>
            <w:r w:rsidRPr="00FF17EC">
              <w:rPr>
                <w:rFonts w:cs="Times New Roman"/>
                <w:b/>
                <w:bCs/>
                <w:i/>
                <w:iCs/>
                <w:lang w:val="it-IT" w:eastAsia="it-IT"/>
              </w:rPr>
              <w:t>total</w:t>
            </w:r>
            <w:r w:rsidR="004B0E46" w:rsidRPr="00FF17EC">
              <w:rPr>
                <w:rFonts w:cs="Times New Roman"/>
                <w:b/>
                <w:bCs/>
                <w:i/>
                <w:iCs/>
                <w:lang w:val="it-IT" w:eastAsia="it-IT"/>
              </w:rPr>
              <w:t xml:space="preserve"> </w:t>
            </w:r>
            <w:r w:rsidRPr="00FF17EC">
              <w:rPr>
                <w:rFonts w:cs="Times New Roman"/>
                <w:b/>
                <w:bCs/>
                <w:i/>
                <w:iCs/>
                <w:lang w:val="it-IT" w:eastAsia="it-IT"/>
              </w:rPr>
              <w:t>land</w:t>
            </w:r>
          </w:p>
          <w:p w:rsidR="00874F38" w:rsidRPr="00FF17EC" w:rsidRDefault="00874F38" w:rsidP="000D2782">
            <w:pPr>
              <w:keepNext/>
              <w:spacing w:after="0" w:line="240" w:lineRule="auto"/>
              <w:jc w:val="right"/>
              <w:rPr>
                <w:rFonts w:cs="Times New Roman"/>
                <w:b/>
                <w:bCs/>
                <w:i/>
                <w:iCs/>
                <w:lang w:val="it-IT" w:eastAsia="it-IT"/>
              </w:rPr>
            </w:pPr>
            <w:r w:rsidRPr="00FF17EC">
              <w:rPr>
                <w:rFonts w:cs="Times New Roman"/>
                <w:b/>
                <w:bCs/>
                <w:i/>
                <w:iCs/>
                <w:lang w:val="it-IT" w:eastAsia="it-IT"/>
              </w:rPr>
              <w:t>(ha)</w:t>
            </w:r>
          </w:p>
        </w:tc>
        <w:tc>
          <w:tcPr>
            <w:tcW w:w="1139" w:type="dxa"/>
            <w:tcBorders>
              <w:top w:val="single" w:sz="4" w:space="0" w:color="auto"/>
              <w:left w:val="nil"/>
              <w:bottom w:val="single" w:sz="4" w:space="0" w:color="auto"/>
              <w:right w:val="nil"/>
            </w:tcBorders>
            <w:shd w:val="clear" w:color="auto" w:fill="auto"/>
            <w:vAlign w:val="bottom"/>
            <w:hideMark/>
          </w:tcPr>
          <w:p w:rsidR="000D2782" w:rsidRPr="00FF17EC" w:rsidRDefault="000D2782" w:rsidP="000D2782">
            <w:pPr>
              <w:keepNext/>
              <w:spacing w:after="0" w:line="240" w:lineRule="auto"/>
              <w:jc w:val="right"/>
              <w:rPr>
                <w:rFonts w:cs="Times New Roman"/>
                <w:b/>
                <w:bCs/>
                <w:i/>
                <w:iCs/>
                <w:lang w:val="it-IT" w:eastAsia="it-IT"/>
              </w:rPr>
            </w:pPr>
            <w:r w:rsidRPr="00FF17EC">
              <w:rPr>
                <w:rFonts w:cs="Times New Roman"/>
                <w:b/>
                <w:bCs/>
                <w:i/>
                <w:iCs/>
                <w:lang w:val="it-IT" w:eastAsia="it-IT"/>
              </w:rPr>
              <w:t>Arable / total</w:t>
            </w:r>
          </w:p>
        </w:tc>
        <w:tc>
          <w:tcPr>
            <w:tcW w:w="1139" w:type="dxa"/>
            <w:tcBorders>
              <w:top w:val="single" w:sz="4" w:space="0" w:color="auto"/>
              <w:left w:val="nil"/>
              <w:bottom w:val="single" w:sz="4" w:space="0" w:color="auto"/>
              <w:right w:val="nil"/>
            </w:tcBorders>
            <w:shd w:val="clear" w:color="auto" w:fill="auto"/>
            <w:vAlign w:val="bottom"/>
            <w:hideMark/>
          </w:tcPr>
          <w:p w:rsidR="000D2782" w:rsidRPr="00FF17EC" w:rsidRDefault="000D2782" w:rsidP="0049076F">
            <w:pPr>
              <w:keepNext/>
              <w:spacing w:after="0" w:line="240" w:lineRule="auto"/>
              <w:ind w:left="-89" w:right="-46"/>
              <w:jc w:val="right"/>
              <w:rPr>
                <w:rFonts w:cs="Times New Roman"/>
                <w:b/>
                <w:bCs/>
                <w:i/>
                <w:iCs/>
                <w:lang w:val="it-IT" w:eastAsia="it-IT"/>
              </w:rPr>
            </w:pPr>
            <w:r w:rsidRPr="00FF17EC">
              <w:rPr>
                <w:rFonts w:cs="Times New Roman"/>
                <w:b/>
                <w:bCs/>
                <w:i/>
                <w:iCs/>
                <w:lang w:val="it-IT" w:eastAsia="it-IT"/>
              </w:rPr>
              <w:t>Cereals, industrial, vegetables</w:t>
            </w:r>
          </w:p>
        </w:tc>
        <w:tc>
          <w:tcPr>
            <w:tcW w:w="1140" w:type="dxa"/>
            <w:tcBorders>
              <w:top w:val="single" w:sz="4" w:space="0" w:color="auto"/>
              <w:left w:val="nil"/>
              <w:bottom w:val="single" w:sz="4" w:space="0" w:color="auto"/>
              <w:right w:val="nil"/>
            </w:tcBorders>
            <w:shd w:val="clear" w:color="auto" w:fill="auto"/>
            <w:vAlign w:val="bottom"/>
            <w:hideMark/>
          </w:tcPr>
          <w:p w:rsidR="000D2782" w:rsidRPr="00FF17EC" w:rsidRDefault="000D2782" w:rsidP="000D2782">
            <w:pPr>
              <w:keepNext/>
              <w:spacing w:after="0" w:line="240" w:lineRule="auto"/>
              <w:jc w:val="right"/>
              <w:rPr>
                <w:rFonts w:cs="Times New Roman"/>
                <w:b/>
                <w:bCs/>
                <w:i/>
                <w:iCs/>
                <w:lang w:val="it-IT" w:eastAsia="it-IT"/>
              </w:rPr>
            </w:pPr>
            <w:r w:rsidRPr="00FF17EC">
              <w:rPr>
                <w:rFonts w:cs="Times New Roman"/>
                <w:b/>
                <w:bCs/>
                <w:i/>
                <w:iCs/>
                <w:lang w:val="it-IT" w:eastAsia="it-IT"/>
              </w:rPr>
              <w:t>Fodder crops</w:t>
            </w:r>
          </w:p>
        </w:tc>
        <w:tc>
          <w:tcPr>
            <w:tcW w:w="1139" w:type="dxa"/>
            <w:tcBorders>
              <w:top w:val="single" w:sz="4" w:space="0" w:color="auto"/>
              <w:left w:val="nil"/>
              <w:bottom w:val="single" w:sz="4" w:space="0" w:color="auto"/>
              <w:right w:val="nil"/>
            </w:tcBorders>
            <w:shd w:val="clear" w:color="auto" w:fill="auto"/>
            <w:vAlign w:val="bottom"/>
            <w:hideMark/>
          </w:tcPr>
          <w:p w:rsidR="000D2782" w:rsidRPr="00FF17EC" w:rsidRDefault="000D2782" w:rsidP="000D2782">
            <w:pPr>
              <w:keepNext/>
              <w:spacing w:after="0" w:line="240" w:lineRule="auto"/>
              <w:jc w:val="right"/>
              <w:rPr>
                <w:rFonts w:cs="Times New Roman"/>
                <w:b/>
                <w:bCs/>
                <w:i/>
                <w:iCs/>
                <w:lang w:val="it-IT" w:eastAsia="it-IT"/>
              </w:rPr>
            </w:pPr>
            <w:r w:rsidRPr="00FF17EC">
              <w:rPr>
                <w:rFonts w:cs="Times New Roman"/>
                <w:b/>
                <w:bCs/>
                <w:i/>
                <w:iCs/>
                <w:lang w:val="it-IT" w:eastAsia="it-IT"/>
              </w:rPr>
              <w:t xml:space="preserve">Orchards </w:t>
            </w:r>
          </w:p>
        </w:tc>
        <w:tc>
          <w:tcPr>
            <w:tcW w:w="1139" w:type="dxa"/>
            <w:tcBorders>
              <w:top w:val="single" w:sz="4" w:space="0" w:color="auto"/>
              <w:left w:val="nil"/>
              <w:bottom w:val="single" w:sz="4" w:space="0" w:color="auto"/>
              <w:right w:val="nil"/>
            </w:tcBorders>
            <w:shd w:val="clear" w:color="auto" w:fill="auto"/>
            <w:vAlign w:val="bottom"/>
            <w:hideMark/>
          </w:tcPr>
          <w:p w:rsidR="000D2782" w:rsidRPr="00FF17EC" w:rsidRDefault="000D2782" w:rsidP="006F6DBB">
            <w:pPr>
              <w:keepNext/>
              <w:spacing w:after="0" w:line="240" w:lineRule="auto"/>
              <w:ind w:left="-105"/>
              <w:jc w:val="right"/>
              <w:rPr>
                <w:rFonts w:cs="Times New Roman"/>
                <w:b/>
                <w:bCs/>
                <w:i/>
                <w:iCs/>
                <w:lang w:val="it-IT" w:eastAsia="it-IT"/>
              </w:rPr>
            </w:pPr>
            <w:r w:rsidRPr="00FF17EC">
              <w:rPr>
                <w:rFonts w:cs="Times New Roman"/>
                <w:b/>
                <w:bCs/>
                <w:i/>
                <w:iCs/>
                <w:lang w:val="it-IT" w:eastAsia="it-IT"/>
              </w:rPr>
              <w:t xml:space="preserve">Vineyards </w:t>
            </w:r>
          </w:p>
        </w:tc>
        <w:tc>
          <w:tcPr>
            <w:tcW w:w="1140" w:type="dxa"/>
            <w:tcBorders>
              <w:top w:val="single" w:sz="4" w:space="0" w:color="auto"/>
              <w:left w:val="nil"/>
              <w:bottom w:val="single" w:sz="4" w:space="0" w:color="auto"/>
              <w:right w:val="nil"/>
            </w:tcBorders>
            <w:shd w:val="clear" w:color="auto" w:fill="auto"/>
            <w:vAlign w:val="bottom"/>
            <w:hideMark/>
          </w:tcPr>
          <w:p w:rsidR="000D2782" w:rsidRPr="00FF17EC" w:rsidRDefault="000D2782" w:rsidP="000D2782">
            <w:pPr>
              <w:keepNext/>
              <w:spacing w:after="0" w:line="240" w:lineRule="auto"/>
              <w:jc w:val="right"/>
              <w:rPr>
                <w:rFonts w:cs="Times New Roman"/>
                <w:b/>
                <w:bCs/>
                <w:i/>
                <w:iCs/>
                <w:lang w:val="it-IT" w:eastAsia="it-IT"/>
              </w:rPr>
            </w:pPr>
            <w:r w:rsidRPr="00FF17EC">
              <w:rPr>
                <w:rFonts w:cs="Times New Roman"/>
                <w:b/>
                <w:bCs/>
                <w:i/>
                <w:iCs/>
                <w:lang w:val="it-IT" w:eastAsia="it-IT"/>
              </w:rPr>
              <w:t>Meadows, pastures</w:t>
            </w:r>
          </w:p>
        </w:tc>
      </w:tr>
      <w:tr w:rsidR="000D2782" w:rsidRPr="00FF17EC" w:rsidTr="0049076F">
        <w:trPr>
          <w:trHeight w:val="285"/>
        </w:trPr>
        <w:tc>
          <w:tcPr>
            <w:tcW w:w="1248" w:type="dxa"/>
            <w:tcBorders>
              <w:top w:val="nil"/>
              <w:left w:val="nil"/>
              <w:bottom w:val="nil"/>
              <w:right w:val="nil"/>
            </w:tcBorders>
            <w:shd w:val="clear" w:color="auto" w:fill="auto"/>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Timiş</w:t>
            </w:r>
          </w:p>
        </w:tc>
        <w:tc>
          <w:tcPr>
            <w:tcW w:w="1333" w:type="dxa"/>
            <w:tcBorders>
              <w:top w:val="nil"/>
              <w:left w:val="nil"/>
              <w:bottom w:val="nil"/>
              <w:right w:val="nil"/>
            </w:tcBorders>
            <w:shd w:val="clear" w:color="auto" w:fill="auto"/>
            <w:noWrap/>
            <w:vAlign w:val="bottom"/>
            <w:hideMark/>
          </w:tcPr>
          <w:p w:rsidR="000D2782" w:rsidRPr="00FF17EC" w:rsidRDefault="005A52D9" w:rsidP="0049076F">
            <w:pPr>
              <w:keepNext/>
              <w:spacing w:after="0" w:line="240" w:lineRule="auto"/>
              <w:jc w:val="right"/>
              <w:rPr>
                <w:rFonts w:cs="Times New Roman"/>
                <w:lang w:val="it-IT" w:eastAsia="it-IT"/>
              </w:rPr>
            </w:pPr>
            <w:r w:rsidRPr="00FF17EC">
              <w:rPr>
                <w:rFonts w:cs="Times New Roman"/>
                <w:lang w:val="it-IT" w:eastAsia="it-IT"/>
              </w:rPr>
              <w:t xml:space="preserve"> </w:t>
            </w:r>
            <w:r w:rsidR="000D2782" w:rsidRPr="00FF17EC">
              <w:rPr>
                <w:rFonts w:cs="Times New Roman"/>
                <w:lang w:val="it-IT" w:eastAsia="it-IT"/>
              </w:rPr>
              <w:t xml:space="preserve">693.034 </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77%</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71%</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4%</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1%</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1%</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18%</w:t>
            </w:r>
          </w:p>
        </w:tc>
      </w:tr>
      <w:tr w:rsidR="000D2782" w:rsidRPr="00FF17EC" w:rsidTr="0049076F">
        <w:trPr>
          <w:trHeight w:val="285"/>
        </w:trPr>
        <w:tc>
          <w:tcPr>
            <w:tcW w:w="1248" w:type="dxa"/>
            <w:tcBorders>
              <w:top w:val="nil"/>
              <w:left w:val="nil"/>
              <w:bottom w:val="nil"/>
              <w:right w:val="nil"/>
            </w:tcBorders>
            <w:shd w:val="clear" w:color="auto" w:fill="auto"/>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Caraş-Severin</w:t>
            </w:r>
          </w:p>
        </w:tc>
        <w:tc>
          <w:tcPr>
            <w:tcW w:w="1333" w:type="dxa"/>
            <w:tcBorders>
              <w:top w:val="nil"/>
              <w:left w:val="nil"/>
              <w:bottom w:val="nil"/>
              <w:right w:val="nil"/>
            </w:tcBorders>
            <w:shd w:val="clear" w:color="auto" w:fill="auto"/>
            <w:noWrap/>
            <w:vAlign w:val="bottom"/>
            <w:hideMark/>
          </w:tcPr>
          <w:p w:rsidR="000D2782" w:rsidRPr="00FF17EC" w:rsidRDefault="005A52D9" w:rsidP="0049076F">
            <w:pPr>
              <w:keepNext/>
              <w:spacing w:after="0" w:line="240" w:lineRule="auto"/>
              <w:jc w:val="right"/>
              <w:rPr>
                <w:rFonts w:cs="Times New Roman"/>
                <w:lang w:val="it-IT" w:eastAsia="it-IT"/>
              </w:rPr>
            </w:pPr>
            <w:r w:rsidRPr="00FF17EC">
              <w:rPr>
                <w:rFonts w:cs="Times New Roman"/>
                <w:lang w:val="it-IT" w:eastAsia="it-IT"/>
              </w:rPr>
              <w:t xml:space="preserve"> </w:t>
            </w:r>
            <w:r w:rsidR="000D2782" w:rsidRPr="00FF17EC">
              <w:rPr>
                <w:rFonts w:cs="Times New Roman"/>
                <w:lang w:val="it-IT" w:eastAsia="it-IT"/>
              </w:rPr>
              <w:t xml:space="preserve">396.928 </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33%</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11%</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19%</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3%</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0%</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45%</w:t>
            </w:r>
          </w:p>
        </w:tc>
      </w:tr>
      <w:tr w:rsidR="000D2782" w:rsidRPr="00FF17EC" w:rsidTr="0049076F">
        <w:trPr>
          <w:trHeight w:val="285"/>
        </w:trPr>
        <w:tc>
          <w:tcPr>
            <w:tcW w:w="1248" w:type="dxa"/>
            <w:tcBorders>
              <w:top w:val="nil"/>
              <w:left w:val="nil"/>
              <w:bottom w:val="nil"/>
              <w:right w:val="nil"/>
            </w:tcBorders>
            <w:shd w:val="clear" w:color="auto" w:fill="auto"/>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Mehedinţi</w:t>
            </w:r>
          </w:p>
        </w:tc>
        <w:tc>
          <w:tcPr>
            <w:tcW w:w="1333" w:type="dxa"/>
            <w:tcBorders>
              <w:top w:val="nil"/>
              <w:left w:val="nil"/>
              <w:bottom w:val="nil"/>
              <w:right w:val="nil"/>
            </w:tcBorders>
            <w:shd w:val="clear" w:color="auto" w:fill="auto"/>
            <w:noWrap/>
            <w:vAlign w:val="bottom"/>
            <w:hideMark/>
          </w:tcPr>
          <w:p w:rsidR="000D2782" w:rsidRPr="00FF17EC" w:rsidRDefault="005A52D9" w:rsidP="0049076F">
            <w:pPr>
              <w:keepNext/>
              <w:spacing w:after="0" w:line="240" w:lineRule="auto"/>
              <w:jc w:val="right"/>
              <w:rPr>
                <w:rFonts w:cs="Times New Roman"/>
                <w:lang w:val="it-IT" w:eastAsia="it-IT"/>
              </w:rPr>
            </w:pPr>
            <w:r w:rsidRPr="00FF17EC">
              <w:rPr>
                <w:rFonts w:cs="Times New Roman"/>
                <w:lang w:val="it-IT" w:eastAsia="it-IT"/>
              </w:rPr>
              <w:t xml:space="preserve"> </w:t>
            </w:r>
            <w:r w:rsidR="000D2782" w:rsidRPr="00FF17EC">
              <w:rPr>
                <w:rFonts w:cs="Times New Roman"/>
                <w:lang w:val="it-IT" w:eastAsia="it-IT"/>
              </w:rPr>
              <w:t xml:space="preserve">293.381 </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64%</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56%</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4%</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2%</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2%</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28%</w:t>
            </w:r>
          </w:p>
        </w:tc>
      </w:tr>
      <w:tr w:rsidR="000D2782" w:rsidRPr="00FF17EC" w:rsidTr="0049076F">
        <w:trPr>
          <w:trHeight w:val="285"/>
        </w:trPr>
        <w:tc>
          <w:tcPr>
            <w:tcW w:w="1248" w:type="dxa"/>
            <w:tcBorders>
              <w:top w:val="nil"/>
              <w:left w:val="nil"/>
              <w:bottom w:val="nil"/>
              <w:right w:val="nil"/>
            </w:tcBorders>
            <w:shd w:val="clear" w:color="auto" w:fill="auto"/>
            <w:hideMark/>
          </w:tcPr>
          <w:p w:rsidR="000D2782" w:rsidRPr="00FF17EC" w:rsidRDefault="000D2782" w:rsidP="000D2782">
            <w:pPr>
              <w:keepNext/>
              <w:spacing w:after="0" w:line="240" w:lineRule="auto"/>
              <w:jc w:val="right"/>
              <w:rPr>
                <w:rFonts w:cs="Times New Roman"/>
                <w:b/>
                <w:bCs/>
                <w:lang w:val="it-IT" w:eastAsia="it-IT"/>
              </w:rPr>
            </w:pPr>
            <w:r w:rsidRPr="00FF17EC">
              <w:rPr>
                <w:rFonts w:cs="Times New Roman"/>
                <w:b/>
                <w:bCs/>
                <w:lang w:val="it-IT" w:eastAsia="it-IT"/>
              </w:rPr>
              <w:t>ROMANIA</w:t>
            </w:r>
          </w:p>
        </w:tc>
        <w:tc>
          <w:tcPr>
            <w:tcW w:w="1333" w:type="dxa"/>
            <w:tcBorders>
              <w:top w:val="nil"/>
              <w:left w:val="nil"/>
              <w:bottom w:val="nil"/>
              <w:right w:val="nil"/>
            </w:tcBorders>
            <w:shd w:val="clear" w:color="auto" w:fill="auto"/>
            <w:noWrap/>
            <w:vAlign w:val="bottom"/>
            <w:hideMark/>
          </w:tcPr>
          <w:p w:rsidR="000D2782" w:rsidRPr="00FF17EC" w:rsidRDefault="000D2782" w:rsidP="0049076F">
            <w:pPr>
              <w:keepNext/>
              <w:spacing w:after="0" w:line="240" w:lineRule="auto"/>
              <w:jc w:val="right"/>
              <w:rPr>
                <w:rFonts w:cs="Times New Roman"/>
                <w:b/>
                <w:lang w:val="it-IT" w:eastAsia="it-IT"/>
              </w:rPr>
            </w:pPr>
            <w:r w:rsidRPr="00FF17EC">
              <w:rPr>
                <w:rFonts w:cs="Times New Roman"/>
                <w:b/>
                <w:lang w:val="it-IT" w:eastAsia="it-IT"/>
              </w:rPr>
              <w:t xml:space="preserve">14.621.427 </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64%</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51%</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11%</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1%</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1%</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22%</w:t>
            </w:r>
          </w:p>
        </w:tc>
      </w:tr>
      <w:tr w:rsidR="00D93903" w:rsidRPr="00FF17EC" w:rsidTr="00473B46">
        <w:trPr>
          <w:trHeight w:val="285"/>
        </w:trPr>
        <w:tc>
          <w:tcPr>
            <w:tcW w:w="1248" w:type="dxa"/>
            <w:tcBorders>
              <w:top w:val="nil"/>
              <w:left w:val="nil"/>
              <w:bottom w:val="nil"/>
              <w:right w:val="nil"/>
            </w:tcBorders>
            <w:shd w:val="clear" w:color="auto" w:fill="auto"/>
            <w:vAlign w:val="bottom"/>
            <w:hideMark/>
          </w:tcPr>
          <w:p w:rsidR="00D93903" w:rsidRPr="00FF17EC" w:rsidRDefault="00D93903" w:rsidP="00D93903">
            <w:pPr>
              <w:keepNext/>
              <w:spacing w:after="0" w:line="240" w:lineRule="auto"/>
              <w:jc w:val="right"/>
              <w:rPr>
                <w:rFonts w:cs="Times New Roman"/>
                <w:lang w:val="it-IT" w:eastAsia="it-IT"/>
              </w:rPr>
            </w:pPr>
            <w:r w:rsidRPr="00FF17EC">
              <w:rPr>
                <w:rFonts w:cs="Times New Roman"/>
                <w:lang w:val="it-IT" w:eastAsia="it-IT"/>
              </w:rPr>
              <w:t>Severno-Banatski</w:t>
            </w:r>
          </w:p>
        </w:tc>
        <w:tc>
          <w:tcPr>
            <w:tcW w:w="1333" w:type="dxa"/>
            <w:tcBorders>
              <w:top w:val="nil"/>
              <w:left w:val="nil"/>
              <w:bottom w:val="nil"/>
              <w:right w:val="nil"/>
            </w:tcBorders>
            <w:shd w:val="clear" w:color="auto" w:fill="auto"/>
            <w:noWrap/>
            <w:vAlign w:val="bottom"/>
            <w:hideMark/>
          </w:tcPr>
          <w:p w:rsidR="00D93903" w:rsidRPr="00FF17EC" w:rsidRDefault="00D93903" w:rsidP="0049076F">
            <w:pPr>
              <w:keepNext/>
              <w:spacing w:after="0" w:line="240" w:lineRule="auto"/>
              <w:jc w:val="right"/>
              <w:rPr>
                <w:rFonts w:cs="Times New Roman"/>
                <w:lang w:val="it-IT" w:eastAsia="it-IT"/>
              </w:rPr>
            </w:pPr>
            <w:r w:rsidRPr="00FF17EC">
              <w:rPr>
                <w:rFonts w:cs="Times New Roman"/>
                <w:lang w:val="it-IT" w:eastAsia="it-IT"/>
              </w:rPr>
              <w:t xml:space="preserve"> 207.806 </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85%</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76%</w:t>
            </w:r>
          </w:p>
        </w:tc>
        <w:tc>
          <w:tcPr>
            <w:tcW w:w="1140"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6%</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1%</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0</w:t>
            </w:r>
            <w:r w:rsidR="006F6DBB" w:rsidRPr="00FF17EC">
              <w:rPr>
                <w:rFonts w:cs="Times New Roman"/>
                <w:lang w:val="it-IT" w:eastAsia="it-IT"/>
              </w:rPr>
              <w:t>,5</w:t>
            </w:r>
            <w:r w:rsidRPr="00FF17EC">
              <w:rPr>
                <w:rFonts w:cs="Times New Roman"/>
                <w:lang w:val="it-IT" w:eastAsia="it-IT"/>
              </w:rPr>
              <w:t>%</w:t>
            </w:r>
          </w:p>
        </w:tc>
        <w:tc>
          <w:tcPr>
            <w:tcW w:w="1140"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11%</w:t>
            </w:r>
          </w:p>
        </w:tc>
      </w:tr>
      <w:tr w:rsidR="00D93903" w:rsidRPr="00FF17EC" w:rsidTr="00473B46">
        <w:trPr>
          <w:trHeight w:val="285"/>
        </w:trPr>
        <w:tc>
          <w:tcPr>
            <w:tcW w:w="1248" w:type="dxa"/>
            <w:tcBorders>
              <w:top w:val="nil"/>
              <w:left w:val="nil"/>
              <w:bottom w:val="nil"/>
              <w:right w:val="nil"/>
            </w:tcBorders>
            <w:shd w:val="clear" w:color="auto" w:fill="auto"/>
            <w:vAlign w:val="bottom"/>
            <w:hideMark/>
          </w:tcPr>
          <w:p w:rsidR="00D93903" w:rsidRPr="00FF17EC" w:rsidRDefault="00D93903" w:rsidP="00D93903">
            <w:pPr>
              <w:keepNext/>
              <w:spacing w:after="0" w:line="240" w:lineRule="auto"/>
              <w:jc w:val="right"/>
              <w:rPr>
                <w:rFonts w:cs="Times New Roman"/>
                <w:lang w:val="it-IT" w:eastAsia="it-IT"/>
              </w:rPr>
            </w:pPr>
            <w:r w:rsidRPr="00FF17EC">
              <w:rPr>
                <w:rFonts w:cs="Times New Roman"/>
                <w:lang w:val="it-IT" w:eastAsia="it-IT"/>
              </w:rPr>
              <w:t>Srednje-Banatski</w:t>
            </w:r>
          </w:p>
        </w:tc>
        <w:tc>
          <w:tcPr>
            <w:tcW w:w="1333" w:type="dxa"/>
            <w:tcBorders>
              <w:top w:val="nil"/>
              <w:left w:val="nil"/>
              <w:bottom w:val="nil"/>
              <w:right w:val="nil"/>
            </w:tcBorders>
            <w:shd w:val="clear" w:color="auto" w:fill="auto"/>
            <w:noWrap/>
            <w:vAlign w:val="bottom"/>
            <w:hideMark/>
          </w:tcPr>
          <w:p w:rsidR="00D93903" w:rsidRPr="00FF17EC" w:rsidRDefault="00D93903" w:rsidP="0049076F">
            <w:pPr>
              <w:keepNext/>
              <w:spacing w:after="0" w:line="240" w:lineRule="auto"/>
              <w:jc w:val="right"/>
              <w:rPr>
                <w:rFonts w:cs="Times New Roman"/>
                <w:lang w:val="it-IT" w:eastAsia="it-IT"/>
              </w:rPr>
            </w:pPr>
            <w:r w:rsidRPr="00FF17EC">
              <w:rPr>
                <w:rFonts w:cs="Times New Roman"/>
                <w:lang w:val="it-IT" w:eastAsia="it-IT"/>
              </w:rPr>
              <w:t xml:space="preserve"> 283.975 </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80%</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74%</w:t>
            </w:r>
          </w:p>
        </w:tc>
        <w:tc>
          <w:tcPr>
            <w:tcW w:w="1140"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5%</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1%</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0</w:t>
            </w:r>
            <w:r w:rsidR="006F6DBB" w:rsidRPr="00FF17EC">
              <w:rPr>
                <w:rFonts w:cs="Times New Roman"/>
                <w:lang w:val="it-IT" w:eastAsia="it-IT"/>
              </w:rPr>
              <w:t>,2</w:t>
            </w:r>
            <w:r w:rsidRPr="00FF17EC">
              <w:rPr>
                <w:rFonts w:cs="Times New Roman"/>
                <w:lang w:val="it-IT" w:eastAsia="it-IT"/>
              </w:rPr>
              <w:t>%</w:t>
            </w:r>
          </w:p>
        </w:tc>
        <w:tc>
          <w:tcPr>
            <w:tcW w:w="1140"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15%</w:t>
            </w:r>
          </w:p>
        </w:tc>
      </w:tr>
      <w:tr w:rsidR="00D93903" w:rsidRPr="00FF17EC" w:rsidTr="00473B46">
        <w:trPr>
          <w:trHeight w:val="285"/>
        </w:trPr>
        <w:tc>
          <w:tcPr>
            <w:tcW w:w="1248" w:type="dxa"/>
            <w:tcBorders>
              <w:top w:val="nil"/>
              <w:left w:val="nil"/>
              <w:bottom w:val="nil"/>
              <w:right w:val="nil"/>
            </w:tcBorders>
            <w:shd w:val="clear" w:color="auto" w:fill="auto"/>
            <w:vAlign w:val="bottom"/>
            <w:hideMark/>
          </w:tcPr>
          <w:p w:rsidR="00D93903" w:rsidRPr="00FF17EC" w:rsidRDefault="00D93903" w:rsidP="00D93903">
            <w:pPr>
              <w:keepNext/>
              <w:spacing w:after="0" w:line="240" w:lineRule="auto"/>
              <w:jc w:val="right"/>
              <w:rPr>
                <w:rFonts w:cs="Times New Roman"/>
                <w:lang w:val="it-IT" w:eastAsia="it-IT"/>
              </w:rPr>
            </w:pPr>
            <w:r w:rsidRPr="00FF17EC">
              <w:rPr>
                <w:rFonts w:cs="Times New Roman"/>
                <w:lang w:val="it-IT" w:eastAsia="it-IT"/>
              </w:rPr>
              <w:t>Južno-Banatski</w:t>
            </w:r>
          </w:p>
        </w:tc>
        <w:tc>
          <w:tcPr>
            <w:tcW w:w="1333" w:type="dxa"/>
            <w:tcBorders>
              <w:top w:val="nil"/>
              <w:left w:val="nil"/>
              <w:bottom w:val="nil"/>
              <w:right w:val="nil"/>
            </w:tcBorders>
            <w:shd w:val="clear" w:color="auto" w:fill="auto"/>
            <w:noWrap/>
            <w:vAlign w:val="bottom"/>
            <w:hideMark/>
          </w:tcPr>
          <w:p w:rsidR="00D93903" w:rsidRPr="00FF17EC" w:rsidRDefault="00D93903" w:rsidP="0049076F">
            <w:pPr>
              <w:keepNext/>
              <w:spacing w:after="0" w:line="240" w:lineRule="auto"/>
              <w:jc w:val="right"/>
              <w:rPr>
                <w:rFonts w:cs="Times New Roman"/>
                <w:lang w:val="it-IT" w:eastAsia="it-IT"/>
              </w:rPr>
            </w:pPr>
            <w:r w:rsidRPr="00FF17EC">
              <w:rPr>
                <w:rFonts w:cs="Times New Roman"/>
                <w:lang w:val="it-IT" w:eastAsia="it-IT"/>
              </w:rPr>
              <w:t xml:space="preserve"> 342.020 </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88%</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84%</w:t>
            </w:r>
          </w:p>
        </w:tc>
        <w:tc>
          <w:tcPr>
            <w:tcW w:w="1140"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3%</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1%</w:t>
            </w:r>
          </w:p>
        </w:tc>
        <w:tc>
          <w:tcPr>
            <w:tcW w:w="1139"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1%</w:t>
            </w:r>
          </w:p>
        </w:tc>
        <w:tc>
          <w:tcPr>
            <w:tcW w:w="1140" w:type="dxa"/>
            <w:tcBorders>
              <w:top w:val="nil"/>
              <w:left w:val="nil"/>
              <w:bottom w:val="nil"/>
              <w:right w:val="nil"/>
            </w:tcBorders>
            <w:shd w:val="clear" w:color="auto" w:fill="auto"/>
            <w:noWrap/>
            <w:vAlign w:val="bottom"/>
            <w:hideMark/>
          </w:tcPr>
          <w:p w:rsidR="00D93903" w:rsidRPr="00FF17EC" w:rsidRDefault="00D93903" w:rsidP="000D2782">
            <w:pPr>
              <w:keepNext/>
              <w:spacing w:after="0" w:line="240" w:lineRule="auto"/>
              <w:jc w:val="right"/>
              <w:rPr>
                <w:rFonts w:cs="Times New Roman"/>
                <w:lang w:val="it-IT" w:eastAsia="it-IT"/>
              </w:rPr>
            </w:pPr>
            <w:r w:rsidRPr="00FF17EC">
              <w:rPr>
                <w:rFonts w:cs="Times New Roman"/>
                <w:lang w:val="it-IT" w:eastAsia="it-IT"/>
              </w:rPr>
              <w:t>9%</w:t>
            </w:r>
          </w:p>
        </w:tc>
      </w:tr>
      <w:tr w:rsidR="00940D0E" w:rsidRPr="00FF17EC" w:rsidTr="0049076F">
        <w:trPr>
          <w:trHeight w:val="285"/>
        </w:trPr>
        <w:tc>
          <w:tcPr>
            <w:tcW w:w="1248" w:type="dxa"/>
            <w:tcBorders>
              <w:top w:val="nil"/>
              <w:left w:val="nil"/>
              <w:bottom w:val="nil"/>
              <w:right w:val="nil"/>
            </w:tcBorders>
            <w:shd w:val="clear" w:color="auto" w:fill="auto"/>
          </w:tcPr>
          <w:p w:rsidR="00940D0E" w:rsidRPr="00FF17EC" w:rsidRDefault="00940D0E" w:rsidP="000D2782">
            <w:pPr>
              <w:keepNext/>
              <w:spacing w:after="0" w:line="240" w:lineRule="auto"/>
              <w:jc w:val="right"/>
              <w:rPr>
                <w:rFonts w:cs="Times New Roman"/>
                <w:lang w:val="it-IT" w:eastAsia="it-IT"/>
              </w:rPr>
            </w:pPr>
            <w:r w:rsidRPr="00FF17EC">
              <w:rPr>
                <w:rFonts w:cs="Times New Roman"/>
                <w:lang w:val="it-IT" w:eastAsia="it-IT"/>
              </w:rPr>
              <w:t>Podunavski</w:t>
            </w:r>
          </w:p>
        </w:tc>
        <w:tc>
          <w:tcPr>
            <w:tcW w:w="1333" w:type="dxa"/>
            <w:tcBorders>
              <w:top w:val="nil"/>
              <w:left w:val="nil"/>
              <w:bottom w:val="nil"/>
              <w:right w:val="nil"/>
            </w:tcBorders>
            <w:shd w:val="clear" w:color="auto" w:fill="auto"/>
            <w:noWrap/>
            <w:vAlign w:val="bottom"/>
          </w:tcPr>
          <w:p w:rsidR="00940D0E" w:rsidRPr="00FF17EC" w:rsidRDefault="00940D0E" w:rsidP="0049076F">
            <w:pPr>
              <w:keepNext/>
              <w:spacing w:after="0" w:line="240" w:lineRule="auto"/>
              <w:jc w:val="right"/>
              <w:rPr>
                <w:rFonts w:cs="Times New Roman"/>
                <w:lang w:val="it-IT" w:eastAsia="it-IT"/>
              </w:rPr>
            </w:pPr>
            <w:r w:rsidRPr="00FF17EC">
              <w:rPr>
                <w:rFonts w:cs="Times New Roman"/>
                <w:lang w:val="it-IT" w:eastAsia="it-IT"/>
              </w:rPr>
              <w:t>102.285</w:t>
            </w:r>
          </w:p>
        </w:tc>
        <w:tc>
          <w:tcPr>
            <w:tcW w:w="1139" w:type="dxa"/>
            <w:tcBorders>
              <w:top w:val="nil"/>
              <w:left w:val="nil"/>
              <w:bottom w:val="nil"/>
              <w:right w:val="nil"/>
            </w:tcBorders>
            <w:shd w:val="clear" w:color="auto" w:fill="auto"/>
            <w:noWrap/>
            <w:vAlign w:val="bottom"/>
          </w:tcPr>
          <w:p w:rsidR="00940D0E" w:rsidRPr="00FF17EC" w:rsidRDefault="00940D0E" w:rsidP="000D2782">
            <w:pPr>
              <w:keepNext/>
              <w:spacing w:after="0" w:line="240" w:lineRule="auto"/>
              <w:jc w:val="right"/>
              <w:rPr>
                <w:rFonts w:cs="Times New Roman"/>
                <w:lang w:val="it-IT" w:eastAsia="it-IT"/>
              </w:rPr>
            </w:pPr>
            <w:r w:rsidRPr="00FF17EC">
              <w:rPr>
                <w:rFonts w:cs="Times New Roman"/>
                <w:lang w:val="it-IT" w:eastAsia="it-IT"/>
              </w:rPr>
              <w:t>84%</w:t>
            </w:r>
          </w:p>
        </w:tc>
        <w:tc>
          <w:tcPr>
            <w:tcW w:w="1139" w:type="dxa"/>
            <w:tcBorders>
              <w:top w:val="nil"/>
              <w:left w:val="nil"/>
              <w:bottom w:val="nil"/>
              <w:right w:val="nil"/>
            </w:tcBorders>
            <w:shd w:val="clear" w:color="auto" w:fill="auto"/>
            <w:noWrap/>
            <w:vAlign w:val="bottom"/>
          </w:tcPr>
          <w:p w:rsidR="00940D0E" w:rsidRPr="00FF17EC" w:rsidRDefault="00940D0E" w:rsidP="000D2782">
            <w:pPr>
              <w:keepNext/>
              <w:spacing w:after="0" w:line="240" w:lineRule="auto"/>
              <w:jc w:val="right"/>
              <w:rPr>
                <w:rFonts w:cs="Times New Roman"/>
                <w:lang w:val="it-IT" w:eastAsia="it-IT"/>
              </w:rPr>
            </w:pPr>
            <w:r w:rsidRPr="00FF17EC">
              <w:rPr>
                <w:rFonts w:cs="Times New Roman"/>
                <w:lang w:val="it-IT" w:eastAsia="it-IT"/>
              </w:rPr>
              <w:t>65%</w:t>
            </w:r>
          </w:p>
        </w:tc>
        <w:tc>
          <w:tcPr>
            <w:tcW w:w="1140" w:type="dxa"/>
            <w:tcBorders>
              <w:top w:val="nil"/>
              <w:left w:val="nil"/>
              <w:bottom w:val="nil"/>
              <w:right w:val="nil"/>
            </w:tcBorders>
            <w:shd w:val="clear" w:color="auto" w:fill="auto"/>
            <w:noWrap/>
            <w:vAlign w:val="bottom"/>
          </w:tcPr>
          <w:p w:rsidR="00940D0E" w:rsidRPr="00FF17EC" w:rsidRDefault="00940D0E" w:rsidP="00087C5C">
            <w:pPr>
              <w:keepNext/>
              <w:spacing w:after="0" w:line="240" w:lineRule="auto"/>
              <w:jc w:val="right"/>
              <w:rPr>
                <w:rFonts w:cs="Times New Roman"/>
                <w:lang w:val="it-IT" w:eastAsia="it-IT"/>
              </w:rPr>
            </w:pPr>
            <w:r w:rsidRPr="00FF17EC">
              <w:rPr>
                <w:rFonts w:cs="Times New Roman"/>
                <w:lang w:val="it-IT" w:eastAsia="it-IT"/>
              </w:rPr>
              <w:t>1</w:t>
            </w:r>
            <w:r w:rsidR="00087C5C" w:rsidRPr="00FF17EC">
              <w:rPr>
                <w:rFonts w:cs="Times New Roman"/>
                <w:lang w:val="it-IT" w:eastAsia="it-IT"/>
              </w:rPr>
              <w:t>3</w:t>
            </w:r>
            <w:r w:rsidRPr="00FF17EC">
              <w:rPr>
                <w:rFonts w:cs="Times New Roman"/>
                <w:lang w:val="it-IT" w:eastAsia="it-IT"/>
              </w:rPr>
              <w:t>%</w:t>
            </w:r>
          </w:p>
        </w:tc>
        <w:tc>
          <w:tcPr>
            <w:tcW w:w="1139" w:type="dxa"/>
            <w:tcBorders>
              <w:top w:val="nil"/>
              <w:left w:val="nil"/>
              <w:bottom w:val="nil"/>
              <w:right w:val="nil"/>
            </w:tcBorders>
            <w:shd w:val="clear" w:color="auto" w:fill="auto"/>
            <w:noWrap/>
            <w:vAlign w:val="bottom"/>
          </w:tcPr>
          <w:p w:rsidR="00940D0E" w:rsidRPr="00FF17EC" w:rsidRDefault="00940D0E" w:rsidP="000D2782">
            <w:pPr>
              <w:keepNext/>
              <w:spacing w:after="0" w:line="240" w:lineRule="auto"/>
              <w:jc w:val="right"/>
              <w:rPr>
                <w:rFonts w:cs="Times New Roman"/>
                <w:lang w:val="it-IT" w:eastAsia="it-IT"/>
              </w:rPr>
            </w:pPr>
            <w:r w:rsidRPr="00FF17EC">
              <w:rPr>
                <w:rFonts w:cs="Times New Roman"/>
                <w:lang w:val="it-IT" w:eastAsia="it-IT"/>
              </w:rPr>
              <w:t>1%</w:t>
            </w:r>
          </w:p>
        </w:tc>
        <w:tc>
          <w:tcPr>
            <w:tcW w:w="1139" w:type="dxa"/>
            <w:tcBorders>
              <w:top w:val="nil"/>
              <w:left w:val="nil"/>
              <w:bottom w:val="nil"/>
              <w:right w:val="nil"/>
            </w:tcBorders>
            <w:shd w:val="clear" w:color="auto" w:fill="auto"/>
            <w:noWrap/>
            <w:vAlign w:val="bottom"/>
          </w:tcPr>
          <w:p w:rsidR="00940D0E" w:rsidRPr="00FF17EC" w:rsidRDefault="00940D0E" w:rsidP="000D2782">
            <w:pPr>
              <w:keepNext/>
              <w:spacing w:after="0" w:line="240" w:lineRule="auto"/>
              <w:jc w:val="right"/>
              <w:rPr>
                <w:rFonts w:cs="Times New Roman"/>
                <w:lang w:val="it-IT" w:eastAsia="it-IT"/>
              </w:rPr>
            </w:pPr>
            <w:r w:rsidRPr="00FF17EC">
              <w:rPr>
                <w:rFonts w:cs="Times New Roman"/>
                <w:lang w:val="it-IT" w:eastAsia="it-IT"/>
              </w:rPr>
              <w:t>0,3%</w:t>
            </w:r>
          </w:p>
        </w:tc>
        <w:tc>
          <w:tcPr>
            <w:tcW w:w="1140" w:type="dxa"/>
            <w:tcBorders>
              <w:top w:val="nil"/>
              <w:left w:val="nil"/>
              <w:bottom w:val="nil"/>
              <w:right w:val="nil"/>
            </w:tcBorders>
            <w:shd w:val="clear" w:color="auto" w:fill="auto"/>
            <w:noWrap/>
            <w:vAlign w:val="bottom"/>
          </w:tcPr>
          <w:p w:rsidR="00940D0E" w:rsidRPr="00FF17EC" w:rsidRDefault="00087C5C" w:rsidP="000D2782">
            <w:pPr>
              <w:keepNext/>
              <w:spacing w:after="0" w:line="240" w:lineRule="auto"/>
              <w:jc w:val="right"/>
              <w:rPr>
                <w:rFonts w:cs="Times New Roman"/>
                <w:lang w:val="it-IT" w:eastAsia="it-IT"/>
              </w:rPr>
            </w:pPr>
            <w:r w:rsidRPr="00FF17EC">
              <w:rPr>
                <w:rFonts w:cs="Times New Roman"/>
                <w:lang w:val="it-IT" w:eastAsia="it-IT"/>
              </w:rPr>
              <w:t>1</w:t>
            </w:r>
            <w:r w:rsidR="00940D0E" w:rsidRPr="00FF17EC">
              <w:rPr>
                <w:rFonts w:cs="Times New Roman"/>
                <w:lang w:val="it-IT" w:eastAsia="it-IT"/>
              </w:rPr>
              <w:t>%</w:t>
            </w:r>
          </w:p>
        </w:tc>
      </w:tr>
      <w:tr w:rsidR="000D2782" w:rsidRPr="00FF17EC" w:rsidTr="0049076F">
        <w:trPr>
          <w:trHeight w:val="285"/>
        </w:trPr>
        <w:tc>
          <w:tcPr>
            <w:tcW w:w="1248" w:type="dxa"/>
            <w:tcBorders>
              <w:top w:val="nil"/>
              <w:left w:val="nil"/>
              <w:bottom w:val="nil"/>
              <w:right w:val="nil"/>
            </w:tcBorders>
            <w:shd w:val="clear" w:color="auto" w:fill="auto"/>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Braničevski</w:t>
            </w:r>
          </w:p>
        </w:tc>
        <w:tc>
          <w:tcPr>
            <w:tcW w:w="1333" w:type="dxa"/>
            <w:tcBorders>
              <w:top w:val="nil"/>
              <w:left w:val="nil"/>
              <w:bottom w:val="nil"/>
              <w:right w:val="nil"/>
            </w:tcBorders>
            <w:shd w:val="clear" w:color="auto" w:fill="auto"/>
            <w:noWrap/>
            <w:vAlign w:val="bottom"/>
            <w:hideMark/>
          </w:tcPr>
          <w:p w:rsidR="000D2782" w:rsidRPr="00FF17EC" w:rsidRDefault="005A52D9" w:rsidP="0049076F">
            <w:pPr>
              <w:keepNext/>
              <w:spacing w:after="0" w:line="240" w:lineRule="auto"/>
              <w:jc w:val="right"/>
              <w:rPr>
                <w:rFonts w:cs="Times New Roman"/>
                <w:lang w:val="it-IT" w:eastAsia="it-IT"/>
              </w:rPr>
            </w:pPr>
            <w:r w:rsidRPr="00FF17EC">
              <w:rPr>
                <w:rFonts w:cs="Times New Roman"/>
                <w:lang w:val="it-IT" w:eastAsia="it-IT"/>
              </w:rPr>
              <w:t xml:space="preserve"> </w:t>
            </w:r>
            <w:r w:rsidR="000D2782" w:rsidRPr="00FF17EC">
              <w:rPr>
                <w:rFonts w:cs="Times New Roman"/>
                <w:lang w:val="it-IT" w:eastAsia="it-IT"/>
              </w:rPr>
              <w:t xml:space="preserve">240.364 </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65%</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48%</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11%</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6%</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2%</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27%</w:t>
            </w:r>
          </w:p>
        </w:tc>
      </w:tr>
      <w:tr w:rsidR="000D2782" w:rsidRPr="00FF17EC" w:rsidTr="0049076F">
        <w:trPr>
          <w:trHeight w:val="285"/>
        </w:trPr>
        <w:tc>
          <w:tcPr>
            <w:tcW w:w="1248" w:type="dxa"/>
            <w:tcBorders>
              <w:top w:val="nil"/>
              <w:left w:val="nil"/>
              <w:bottom w:val="nil"/>
              <w:right w:val="nil"/>
            </w:tcBorders>
            <w:shd w:val="clear" w:color="auto" w:fill="auto"/>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Borski</w:t>
            </w:r>
          </w:p>
        </w:tc>
        <w:tc>
          <w:tcPr>
            <w:tcW w:w="1333" w:type="dxa"/>
            <w:tcBorders>
              <w:top w:val="nil"/>
              <w:left w:val="nil"/>
              <w:bottom w:val="nil"/>
              <w:right w:val="nil"/>
            </w:tcBorders>
            <w:shd w:val="clear" w:color="auto" w:fill="auto"/>
            <w:noWrap/>
            <w:vAlign w:val="bottom"/>
            <w:hideMark/>
          </w:tcPr>
          <w:p w:rsidR="000D2782" w:rsidRPr="00FF17EC" w:rsidRDefault="005A52D9" w:rsidP="0049076F">
            <w:pPr>
              <w:keepNext/>
              <w:spacing w:after="0" w:line="240" w:lineRule="auto"/>
              <w:jc w:val="right"/>
              <w:rPr>
                <w:rFonts w:cs="Times New Roman"/>
                <w:lang w:val="it-IT" w:eastAsia="it-IT"/>
              </w:rPr>
            </w:pPr>
            <w:r w:rsidRPr="00FF17EC">
              <w:rPr>
                <w:rFonts w:cs="Times New Roman"/>
                <w:lang w:val="it-IT" w:eastAsia="it-IT"/>
              </w:rPr>
              <w:t xml:space="preserve"> </w:t>
            </w:r>
            <w:r w:rsidR="000D2782" w:rsidRPr="00FF17EC">
              <w:rPr>
                <w:rFonts w:cs="Times New Roman"/>
                <w:lang w:val="it-IT" w:eastAsia="it-IT"/>
              </w:rPr>
              <w:t xml:space="preserve">169.500 </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45%</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31%</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7%</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2%</w:t>
            </w:r>
          </w:p>
        </w:tc>
        <w:tc>
          <w:tcPr>
            <w:tcW w:w="1139"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2%</w:t>
            </w:r>
          </w:p>
        </w:tc>
        <w:tc>
          <w:tcPr>
            <w:tcW w:w="1140" w:type="dxa"/>
            <w:tcBorders>
              <w:top w:val="nil"/>
              <w:left w:val="nil"/>
              <w:bottom w:val="nil"/>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lang w:val="it-IT" w:eastAsia="it-IT"/>
              </w:rPr>
            </w:pPr>
            <w:r w:rsidRPr="00FF17EC">
              <w:rPr>
                <w:rFonts w:cs="Times New Roman"/>
                <w:lang w:val="it-IT" w:eastAsia="it-IT"/>
              </w:rPr>
              <w:t>50%</w:t>
            </w:r>
          </w:p>
        </w:tc>
      </w:tr>
      <w:tr w:rsidR="000D2782" w:rsidRPr="00FF17EC" w:rsidTr="0049076F">
        <w:trPr>
          <w:trHeight w:val="285"/>
        </w:trPr>
        <w:tc>
          <w:tcPr>
            <w:tcW w:w="1248" w:type="dxa"/>
            <w:tcBorders>
              <w:top w:val="nil"/>
              <w:left w:val="nil"/>
              <w:bottom w:val="single" w:sz="4" w:space="0" w:color="auto"/>
              <w:right w:val="nil"/>
            </w:tcBorders>
            <w:shd w:val="clear" w:color="auto" w:fill="auto"/>
            <w:hideMark/>
          </w:tcPr>
          <w:p w:rsidR="000D2782" w:rsidRPr="00FF17EC" w:rsidRDefault="000D2782" w:rsidP="000D2782">
            <w:pPr>
              <w:keepNext/>
              <w:spacing w:after="0" w:line="240" w:lineRule="auto"/>
              <w:jc w:val="right"/>
              <w:rPr>
                <w:rFonts w:cs="Times New Roman"/>
                <w:b/>
                <w:bCs/>
                <w:lang w:val="it-IT" w:eastAsia="it-IT"/>
              </w:rPr>
            </w:pPr>
            <w:r w:rsidRPr="00FF17EC">
              <w:rPr>
                <w:rFonts w:cs="Times New Roman"/>
                <w:b/>
                <w:bCs/>
                <w:lang w:val="it-IT" w:eastAsia="it-IT"/>
              </w:rPr>
              <w:t>SERBIA</w:t>
            </w:r>
          </w:p>
        </w:tc>
        <w:tc>
          <w:tcPr>
            <w:tcW w:w="1333" w:type="dxa"/>
            <w:tcBorders>
              <w:top w:val="nil"/>
              <w:left w:val="nil"/>
              <w:bottom w:val="single" w:sz="4" w:space="0" w:color="auto"/>
              <w:right w:val="nil"/>
            </w:tcBorders>
            <w:shd w:val="clear" w:color="auto" w:fill="auto"/>
            <w:noWrap/>
            <w:vAlign w:val="bottom"/>
            <w:hideMark/>
          </w:tcPr>
          <w:p w:rsidR="000D2782" w:rsidRPr="00FF17EC" w:rsidRDefault="00634723" w:rsidP="0049076F">
            <w:pPr>
              <w:keepNext/>
              <w:spacing w:after="0" w:line="240" w:lineRule="auto"/>
              <w:jc w:val="right"/>
              <w:rPr>
                <w:rFonts w:cs="Times New Roman"/>
                <w:b/>
                <w:lang w:val="it-IT" w:eastAsia="it-IT"/>
              </w:rPr>
            </w:pPr>
            <w:r w:rsidRPr="00FF17EC">
              <w:rPr>
                <w:rFonts w:cs="Times New Roman"/>
                <w:b/>
                <w:lang w:val="it-IT" w:eastAsia="it-IT"/>
              </w:rPr>
              <w:t xml:space="preserve"> </w:t>
            </w:r>
            <w:r w:rsidR="000D2782" w:rsidRPr="00FF17EC">
              <w:rPr>
                <w:rFonts w:cs="Times New Roman"/>
                <w:b/>
                <w:lang w:val="it-IT" w:eastAsia="it-IT"/>
              </w:rPr>
              <w:t xml:space="preserve">5.096.267 </w:t>
            </w:r>
          </w:p>
        </w:tc>
        <w:tc>
          <w:tcPr>
            <w:tcW w:w="1139"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65%</w:t>
            </w:r>
          </w:p>
        </w:tc>
        <w:tc>
          <w:tcPr>
            <w:tcW w:w="1139"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51%</w:t>
            </w:r>
          </w:p>
        </w:tc>
        <w:tc>
          <w:tcPr>
            <w:tcW w:w="114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9%</w:t>
            </w:r>
          </w:p>
        </w:tc>
        <w:tc>
          <w:tcPr>
            <w:tcW w:w="1139"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5%</w:t>
            </w:r>
          </w:p>
        </w:tc>
        <w:tc>
          <w:tcPr>
            <w:tcW w:w="1139"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1%</w:t>
            </w:r>
          </w:p>
        </w:tc>
        <w:tc>
          <w:tcPr>
            <w:tcW w:w="1140" w:type="dxa"/>
            <w:tcBorders>
              <w:top w:val="nil"/>
              <w:left w:val="nil"/>
              <w:bottom w:val="single" w:sz="4" w:space="0" w:color="auto"/>
              <w:right w:val="nil"/>
            </w:tcBorders>
            <w:shd w:val="clear" w:color="auto" w:fill="auto"/>
            <w:noWrap/>
            <w:vAlign w:val="bottom"/>
            <w:hideMark/>
          </w:tcPr>
          <w:p w:rsidR="000D2782" w:rsidRPr="00FF17EC" w:rsidRDefault="000D2782" w:rsidP="000D2782">
            <w:pPr>
              <w:keepNext/>
              <w:spacing w:after="0" w:line="240" w:lineRule="auto"/>
              <w:jc w:val="right"/>
              <w:rPr>
                <w:rFonts w:cs="Times New Roman"/>
                <w:b/>
                <w:lang w:val="it-IT" w:eastAsia="it-IT"/>
              </w:rPr>
            </w:pPr>
            <w:r w:rsidRPr="00FF17EC">
              <w:rPr>
                <w:rFonts w:cs="Times New Roman"/>
                <w:b/>
                <w:lang w:val="it-IT" w:eastAsia="it-IT"/>
              </w:rPr>
              <w:t>29%</w:t>
            </w:r>
          </w:p>
        </w:tc>
      </w:tr>
    </w:tbl>
    <w:p w:rsidR="000D2782" w:rsidRPr="00FF17EC" w:rsidRDefault="000D2782" w:rsidP="00F21D79">
      <w:pPr>
        <w:pStyle w:val="Caption"/>
        <w:spacing w:before="120"/>
        <w:rPr>
          <w:sz w:val="22"/>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4</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3</w:t>
      </w:r>
      <w:r w:rsidR="00085686" w:rsidRPr="00FF17EC">
        <w:rPr>
          <w:sz w:val="22"/>
        </w:rPr>
        <w:fldChar w:fldCharType="end"/>
      </w:r>
      <w:r w:rsidR="00185FA0" w:rsidRPr="00FF17EC">
        <w:rPr>
          <w:sz w:val="22"/>
        </w:rPr>
        <w:t xml:space="preserve"> A</w:t>
      </w:r>
      <w:r w:rsidRPr="00FF17EC">
        <w:rPr>
          <w:sz w:val="22"/>
        </w:rPr>
        <w:t>gricultural land use 20</w:t>
      </w:r>
      <w:r w:rsidR="006F6DBB" w:rsidRPr="00FF17EC">
        <w:rPr>
          <w:sz w:val="22"/>
        </w:rPr>
        <w:t>1</w:t>
      </w:r>
      <w:r w:rsidRPr="00FF17EC">
        <w:rPr>
          <w:sz w:val="22"/>
        </w:rPr>
        <w:t xml:space="preserve">1 NIS Romania, Serbia, census </w:t>
      </w:r>
    </w:p>
    <w:p w:rsidR="00A4113E" w:rsidRPr="00FF17EC" w:rsidRDefault="00A4113E" w:rsidP="000D2782"/>
    <w:p w:rsidR="000D2782" w:rsidRPr="00FF17EC" w:rsidRDefault="000D2782" w:rsidP="000D2782">
      <w:r w:rsidRPr="00FF17EC">
        <w:t>Commodities (wheat, corn, soya and sunflower) represent the main specialization, and food industries, wine, beer are connected to the agricultural activities especially in the Banat and Timiș area. Forestry and pasture occupy the largest share of the area on the mountains in the south and east.</w:t>
      </w:r>
      <w:r w:rsidR="004B0E46" w:rsidRPr="00FF17EC">
        <w:t xml:space="preserve"> </w:t>
      </w:r>
    </w:p>
    <w:p w:rsidR="000D2782" w:rsidRPr="00FF17EC" w:rsidRDefault="000D2782" w:rsidP="000D2782">
      <w:r w:rsidRPr="00FF17EC">
        <w:t>Vegetable</w:t>
      </w:r>
      <w:r w:rsidR="004B0E46" w:rsidRPr="00FF17EC">
        <w:t xml:space="preserve"> </w:t>
      </w:r>
      <w:r w:rsidRPr="00FF17EC">
        <w:t>and industrial crops and in general commodities are typical productions of the agriculture of the Banat’s districts, whilst in the Centre and the South, meadows and pastures occupy a large portion of the territory.</w:t>
      </w:r>
    </w:p>
    <w:p w:rsidR="000D2782" w:rsidRPr="00FF17EC" w:rsidRDefault="000D2782" w:rsidP="000D2782">
      <w:r w:rsidRPr="00FF17EC">
        <w:t>Livestock productions experience</w:t>
      </w:r>
      <w:r w:rsidR="004B0E46" w:rsidRPr="00FF17EC">
        <w:t xml:space="preserve"> </w:t>
      </w:r>
      <w:r w:rsidRPr="00FF17EC">
        <w:t>a very strong structural adjustment in the last decade, with decline in some areas, and large investments in new technologies</w:t>
      </w:r>
      <w:r w:rsidR="00634723" w:rsidRPr="00FF17EC">
        <w:rPr>
          <w:rStyle w:val="FootnoteReference"/>
        </w:rPr>
        <w:footnoteReference w:id="12"/>
      </w:r>
      <w:r w:rsidRPr="00FF17EC">
        <w:t xml:space="preserve">. </w:t>
      </w:r>
    </w:p>
    <w:p w:rsidR="007D1DDB" w:rsidRPr="00FF17EC" w:rsidRDefault="007D1DDB" w:rsidP="000D2782"/>
    <w:p w:rsidR="000D2782" w:rsidRPr="00FF17EC" w:rsidRDefault="000D2782" w:rsidP="000D2782">
      <w:pPr>
        <w:pStyle w:val="Heading3"/>
      </w:pPr>
      <w:bookmarkStart w:id="21" w:name="_Toc378857139"/>
      <w:r w:rsidRPr="00FF17EC">
        <w:lastRenderedPageBreak/>
        <w:t>Mining Industries</w:t>
      </w:r>
      <w:bookmarkEnd w:id="21"/>
    </w:p>
    <w:p w:rsidR="000D2782" w:rsidRPr="00FF17EC" w:rsidRDefault="000D2782" w:rsidP="000D2782">
      <w:r w:rsidRPr="00FF17EC">
        <w:t xml:space="preserve">In Serbia, exploitation of the underground resources including ores (iron, copper, zinc, lead, uranium), precious metals gold and silver, and also construction materials (sand, granite, clay and marble) led to the growth of tradable products sectors since the beginning of the last century, integrating the local economy in the international markets. </w:t>
      </w:r>
    </w:p>
    <w:p w:rsidR="000D2782" w:rsidRPr="00FF17EC" w:rsidRDefault="000D2782" w:rsidP="000D2782">
      <w:r w:rsidRPr="00FF17EC">
        <w:t xml:space="preserve">In Romania, the Mining industry occupied a similar place in the local economy, especially in Caras Severin, since the 19th century </w:t>
      </w:r>
      <w:hyperlink r:id="rId26" w:tooltip="Reșița" w:history="1">
        <w:r w:rsidRPr="00FF17EC">
          <w:t>Reșița</w:t>
        </w:r>
      </w:hyperlink>
      <w:r w:rsidR="004B0E46" w:rsidRPr="00FF17EC">
        <w:t xml:space="preserve"> </w:t>
      </w:r>
      <w:r w:rsidRPr="00FF17EC">
        <w:t xml:space="preserve">became a modern industrial centre under Austrian rule. </w:t>
      </w:r>
    </w:p>
    <w:p w:rsidR="000D2782" w:rsidRPr="00FF17EC" w:rsidRDefault="000D2782" w:rsidP="000D2782">
      <w:r w:rsidRPr="00FF17EC">
        <w:t>The area received considerable attention due to its </w:t>
      </w:r>
      <w:hyperlink r:id="rId27" w:tooltip="Mining" w:history="1">
        <w:r w:rsidRPr="00FF17EC">
          <w:t>mining</w:t>
        </w:r>
      </w:hyperlink>
      <w:r w:rsidRPr="00FF17EC">
        <w:t> industry. In the nineteenth century, the entire Banat area, with its supplies of mineral deposits and timber, was the object of investment by international companies.</w:t>
      </w:r>
    </w:p>
    <w:p w:rsidR="000D2782" w:rsidRPr="00FF17EC" w:rsidRDefault="000D2782" w:rsidP="000D2782">
      <w:r w:rsidRPr="00FF17EC">
        <w:t xml:space="preserve">In more recent times, the development has been supported by important public investments in state-owned companies. The increased costs of the factors of production caused the closure of several exploitations in the 90’s, in both countries, with severe social consequences on the labour market and environmental risks, still waiting to be afforded with a comprehensive approach. </w:t>
      </w:r>
    </w:p>
    <w:p w:rsidR="000D2782" w:rsidRPr="00FF17EC" w:rsidRDefault="000D2782" w:rsidP="000D2782">
      <w:r w:rsidRPr="00FF17EC">
        <w:t>In the Borski district, the RTB holding company of Bor operates the largest-size copper mining area in Europe, with close to 5000 employee in 2012.</w:t>
      </w:r>
    </w:p>
    <w:p w:rsidR="000D2782" w:rsidRPr="00FF17EC" w:rsidRDefault="000D2782" w:rsidP="000D2782">
      <w:r w:rsidRPr="00FF17EC">
        <w:t>Oil reserves were strategically important during the first half of the XX Century in both countries, and their extraction still plays a potential role, however marginal in the local economy, in spite of dramatic reduction of reserves and increased costs of extraction, due to new technologies of extraction.</w:t>
      </w:r>
    </w:p>
    <w:p w:rsidR="007D1DDB" w:rsidRPr="00FF17EC" w:rsidRDefault="007D1DDB" w:rsidP="000D2782"/>
    <w:p w:rsidR="000D2782" w:rsidRPr="00FF17EC" w:rsidRDefault="000D2782" w:rsidP="000D2782">
      <w:pPr>
        <w:pStyle w:val="Heading3"/>
      </w:pPr>
      <w:bookmarkStart w:id="22" w:name="_Toc378857140"/>
      <w:r w:rsidRPr="00FF17EC">
        <w:t>Industrial sectors</w:t>
      </w:r>
      <w:bookmarkEnd w:id="22"/>
    </w:p>
    <w:p w:rsidR="000D2782" w:rsidRPr="00FF17EC" w:rsidRDefault="000D2782" w:rsidP="000D2782">
      <w:r w:rsidRPr="00FF17EC">
        <w:t>On the Serbian side of the border the major industrial concentrations by sectors are in the chemical industry sector, food, in pharmaceutical - cosmetic sector and in the non-metallic processing sector as the glass industry.</w:t>
      </w:r>
      <w:r w:rsidR="004B0E46" w:rsidRPr="00FF17EC">
        <w:t xml:space="preserve"> </w:t>
      </w:r>
      <w:r w:rsidRPr="00FF17EC">
        <w:t xml:space="preserve">In addition, there is considerable activity in the metal processing and foundry sector and factory producing agricultural machinery and equipment, </w:t>
      </w:r>
      <w:r w:rsidRPr="00FF17EC">
        <w:lastRenderedPageBreak/>
        <w:t>railway wagons.</w:t>
      </w:r>
      <w:r w:rsidR="004B0E46" w:rsidRPr="00FF17EC">
        <w:t xml:space="preserve"> </w:t>
      </w:r>
      <w:r w:rsidRPr="00FF17EC">
        <w:t xml:space="preserve">Braničevski district has developed food processing industries especially candies and sweets (Bambi). Beer production in Zrenjanin and wine production in Vršac (also candies and sweets), Negotin area is famous by wine. </w:t>
      </w:r>
    </w:p>
    <w:p w:rsidR="000D2782" w:rsidRPr="00FF17EC" w:rsidRDefault="000D2782" w:rsidP="000D2782">
      <w:r w:rsidRPr="00FF17EC">
        <w:t>In the Timi</w:t>
      </w:r>
      <w:r w:rsidRPr="00FF17EC">
        <w:rPr>
          <w:lang w:val="ro-RO"/>
        </w:rPr>
        <w:t>ș</w:t>
      </w:r>
      <w:r w:rsidRPr="00FF17EC">
        <w:t xml:space="preserve"> districts, the main components of the industrial system are those in automobile</w:t>
      </w:r>
      <w:r w:rsidR="00634723" w:rsidRPr="00FF17EC">
        <w:t xml:space="preserve"> </w:t>
      </w:r>
      <w:r w:rsidRPr="00FF17EC">
        <w:t>manufacturing, textiles, food, chemicals, ICT, furniture., constructions and building materials, textile,</w:t>
      </w:r>
      <w:r w:rsidR="004B0E46" w:rsidRPr="00FF17EC">
        <w:t xml:space="preserve"> </w:t>
      </w:r>
      <w:r w:rsidRPr="00FF17EC">
        <w:t xml:space="preserve">leather industry, shoe industry, wood and furniture industry, commerce, </w:t>
      </w:r>
    </w:p>
    <w:p w:rsidR="000D2782" w:rsidRPr="00FF17EC" w:rsidRDefault="000D2782" w:rsidP="000D2782">
      <w:pPr>
        <w:rPr>
          <w:color w:val="000000"/>
          <w:shd w:val="clear" w:color="auto" w:fill="FFFFFF"/>
        </w:rPr>
      </w:pPr>
      <w:r w:rsidRPr="00FF17EC">
        <w:t>In Caras Severin</w:t>
      </w:r>
      <w:r w:rsidRPr="00FF17EC">
        <w:rPr>
          <w:color w:val="000000"/>
          <w:shd w:val="clear" w:color="auto" w:fill="FFFFFF"/>
        </w:rPr>
        <w:t>, Building materials, Information technologies, Electrical industry, Energy, Iron and steel industry, Light industry, Machinery and furniture, Mechanical industry, Metallurgy, High technology.</w:t>
      </w:r>
    </w:p>
    <w:p w:rsidR="000D2782" w:rsidRPr="00FF17EC" w:rsidRDefault="000D2782" w:rsidP="000D2782">
      <w:pPr>
        <w:rPr>
          <w:color w:val="000000"/>
          <w:shd w:val="clear" w:color="auto" w:fill="FFFFFF"/>
        </w:rPr>
      </w:pPr>
      <w:r w:rsidRPr="00FF17EC">
        <w:rPr>
          <w:color w:val="000000"/>
          <w:shd w:val="clear" w:color="auto" w:fill="FFFFFF"/>
        </w:rPr>
        <w:t>In Mehedinti, Chemicals, Metallurgy, Energy, Mining, are the main sectors of industrial production.</w:t>
      </w:r>
    </w:p>
    <w:p w:rsidR="007D1DDB" w:rsidRPr="00FF17EC" w:rsidRDefault="007D1DDB" w:rsidP="000D2782"/>
    <w:p w:rsidR="000D2782" w:rsidRPr="00FF17EC" w:rsidRDefault="000D2782" w:rsidP="000D2782">
      <w:pPr>
        <w:pStyle w:val="Heading3"/>
      </w:pPr>
      <w:bookmarkStart w:id="23" w:name="_Toc382757402"/>
      <w:bookmarkStart w:id="24" w:name="_Toc382757458"/>
      <w:bookmarkStart w:id="25" w:name="_Toc382944497"/>
      <w:bookmarkStart w:id="26" w:name="_Toc382946149"/>
      <w:bookmarkStart w:id="27" w:name="_Toc382757403"/>
      <w:bookmarkStart w:id="28" w:name="_Toc382757459"/>
      <w:bookmarkStart w:id="29" w:name="_Toc382944498"/>
      <w:bookmarkStart w:id="30" w:name="_Toc382946150"/>
      <w:bookmarkStart w:id="31" w:name="_Toc382757404"/>
      <w:bookmarkStart w:id="32" w:name="_Toc382757460"/>
      <w:bookmarkStart w:id="33" w:name="_Toc382944499"/>
      <w:bookmarkStart w:id="34" w:name="_Toc382946151"/>
      <w:bookmarkStart w:id="35" w:name="_Toc382757405"/>
      <w:bookmarkStart w:id="36" w:name="_Toc382757461"/>
      <w:bookmarkStart w:id="37" w:name="_Toc382944500"/>
      <w:bookmarkStart w:id="38" w:name="_Toc382946152"/>
      <w:bookmarkStart w:id="39" w:name="_Toc382757406"/>
      <w:bookmarkStart w:id="40" w:name="_Toc382757462"/>
      <w:bookmarkStart w:id="41" w:name="_Toc382944501"/>
      <w:bookmarkStart w:id="42" w:name="_Toc382946153"/>
      <w:bookmarkStart w:id="43" w:name="_Toc382757407"/>
      <w:bookmarkStart w:id="44" w:name="_Toc382757463"/>
      <w:bookmarkStart w:id="45" w:name="_Toc382944502"/>
      <w:bookmarkStart w:id="46" w:name="_Toc382946154"/>
      <w:bookmarkStart w:id="47" w:name="_Toc382757408"/>
      <w:bookmarkStart w:id="48" w:name="_Toc382757464"/>
      <w:bookmarkStart w:id="49" w:name="_Toc382944503"/>
      <w:bookmarkStart w:id="50" w:name="_Toc382946155"/>
      <w:bookmarkStart w:id="51" w:name="_Toc382757409"/>
      <w:bookmarkStart w:id="52" w:name="_Toc382757465"/>
      <w:bookmarkStart w:id="53" w:name="_Toc382944504"/>
      <w:bookmarkStart w:id="54" w:name="_Toc382946156"/>
      <w:bookmarkStart w:id="55" w:name="_Toc378857141"/>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Pr="00FF17EC">
        <w:t>Energy</w:t>
      </w:r>
      <w:bookmarkEnd w:id="55"/>
      <w:r w:rsidRPr="00FF17EC">
        <w:t xml:space="preserve"> </w:t>
      </w:r>
    </w:p>
    <w:p w:rsidR="000D2782" w:rsidRPr="00FF17EC" w:rsidRDefault="000D2782" w:rsidP="000D2782">
      <w:r w:rsidRPr="00FF17EC">
        <w:t>In the energy sector a key resource is the hydro-electric power central on the Danube at Porțile de Fier/Đerdap. The two units, both shared by Romania and Serbia, produce a relevant share of the total production from renewable sources, and of the total electricity production.</w:t>
      </w:r>
    </w:p>
    <w:p w:rsidR="000D2782" w:rsidRPr="00FF17EC" w:rsidRDefault="000D2782" w:rsidP="000D2782">
      <w:r w:rsidRPr="00FF17EC">
        <w:t xml:space="preserve">The Romanian </w:t>
      </w:r>
      <w:r w:rsidR="00185FA0" w:rsidRPr="00FF17EC">
        <w:t>units</w:t>
      </w:r>
      <w:r w:rsidRPr="00FF17EC">
        <w:t xml:space="preserve"> produce</w:t>
      </w:r>
      <w:r w:rsidR="00185FA0" w:rsidRPr="00FF17EC">
        <w:t xml:space="preserve"> </w:t>
      </w:r>
      <w:r w:rsidRPr="00FF17EC">
        <w:t>35%-40% of Romania’s Hydro-electricity</w:t>
      </w:r>
      <w:r w:rsidRPr="00FF17EC">
        <w:rPr>
          <w:rStyle w:val="FootnoteReference"/>
        </w:rPr>
        <w:footnoteReference w:id="13"/>
      </w:r>
      <w:r w:rsidRPr="00FF17EC">
        <w:t xml:space="preserve">, with some variations due </w:t>
      </w:r>
      <w:r w:rsidR="00185FA0" w:rsidRPr="00FF17EC">
        <w:t xml:space="preserve">to </w:t>
      </w:r>
      <w:r w:rsidRPr="00FF17EC">
        <w:t>climate conditions and 25% of renewable energy sources</w:t>
      </w:r>
      <w:r w:rsidRPr="00FF17EC">
        <w:rPr>
          <w:rStyle w:val="FootnoteReference"/>
        </w:rPr>
        <w:footnoteReference w:id="14"/>
      </w:r>
      <w:r w:rsidRPr="00FF17EC">
        <w:t>. It represents 10-15% of total National production. In Serbia, the production from Porțile de Fier/Đerdap represents</w:t>
      </w:r>
      <w:r w:rsidR="004B0E46" w:rsidRPr="00FF17EC">
        <w:t xml:space="preserve"> </w:t>
      </w:r>
      <w:r w:rsidRPr="00FF17EC">
        <w:t>roughly</w:t>
      </w:r>
      <w:r w:rsidR="004B0E46" w:rsidRPr="00FF17EC">
        <w:t xml:space="preserve"> </w:t>
      </w:r>
      <w:r w:rsidRPr="00FF17EC">
        <w:t>70% of</w:t>
      </w:r>
      <w:r w:rsidR="004B0E46" w:rsidRPr="00FF17EC">
        <w:t xml:space="preserve"> </w:t>
      </w:r>
      <w:r w:rsidRPr="00FF17EC">
        <w:t>hydro-electricity production, and</w:t>
      </w:r>
      <w:r w:rsidR="004B0E46" w:rsidRPr="00FF17EC">
        <w:t xml:space="preserve"> </w:t>
      </w:r>
      <w:r w:rsidRPr="00FF17EC">
        <w:t>20-25% of total Serbian electricity produced.</w:t>
      </w:r>
    </w:p>
    <w:p w:rsidR="000D2782" w:rsidRPr="00FF17EC" w:rsidRDefault="000D2782" w:rsidP="000D2782">
      <w:r w:rsidRPr="00FF17EC">
        <w:t>An important project is the development of oil pipeline Constanţa- Pančevo, as this is becoming a very important route for infrastructure development.</w:t>
      </w:r>
    </w:p>
    <w:p w:rsidR="000D2782" w:rsidRPr="00FF17EC" w:rsidRDefault="000D2782" w:rsidP="000D2782">
      <w:r w:rsidRPr="00FF17EC">
        <w:t>To ensure electricity transit through Serbia along the corridor that runs from</w:t>
      </w:r>
      <w:r w:rsidR="004B0E46" w:rsidRPr="00FF17EC">
        <w:t xml:space="preserve"> </w:t>
      </w:r>
      <w:r w:rsidRPr="00FF17EC">
        <w:t>east/northeast to west/southwest, a double 400 kV interconnection is planned between</w:t>
      </w:r>
      <w:r w:rsidR="004B0E46" w:rsidRPr="00FF17EC">
        <w:t xml:space="preserve"> </w:t>
      </w:r>
      <w:r w:rsidRPr="00FF17EC">
        <w:t xml:space="preserve">substation Pančevo 2 in </w:t>
      </w:r>
      <w:r w:rsidRPr="00FF17EC">
        <w:lastRenderedPageBreak/>
        <w:t>Serb</w:t>
      </w:r>
      <w:r w:rsidR="003A35C4" w:rsidRPr="00FF17EC">
        <w:t xml:space="preserve">ia and – transformer substation </w:t>
      </w:r>
      <w:r w:rsidRPr="00FF17EC">
        <w:t>Resica (Sokol) in Romania (RO)</w:t>
      </w:r>
      <w:r w:rsidR="004B0E46" w:rsidRPr="00FF17EC">
        <w:t xml:space="preserve"> </w:t>
      </w:r>
      <w:r w:rsidRPr="00FF17EC">
        <w:t>to facilitate connection of more than 1000 MW of renewable generating capacity in the region</w:t>
      </w:r>
      <w:r w:rsidRPr="00FF17EC">
        <w:rPr>
          <w:vertAlign w:val="superscript"/>
        </w:rPr>
        <w:footnoteReference w:id="15"/>
      </w:r>
      <w:r w:rsidRPr="00FF17EC">
        <w:t xml:space="preserve">. </w:t>
      </w:r>
    </w:p>
    <w:p w:rsidR="000D2782" w:rsidRPr="00FF17EC" w:rsidRDefault="000D2782" w:rsidP="000D2782">
      <w:pPr>
        <w:rPr>
          <w:lang w:val="ro-RO"/>
        </w:rPr>
      </w:pPr>
      <w:r w:rsidRPr="00FF17EC">
        <w:t xml:space="preserve">The eligible area is rich of renewable energy resources, in particular </w:t>
      </w:r>
      <w:r w:rsidR="007A11B3" w:rsidRPr="00FF17EC">
        <w:t>Timiș</w:t>
      </w:r>
      <w:r w:rsidRPr="00FF17EC">
        <w:t>: geo-thermal waters sources. There are also climatic condition</w:t>
      </w:r>
      <w:r w:rsidR="00185FA0" w:rsidRPr="00FF17EC">
        <w:t>s</w:t>
      </w:r>
      <w:r w:rsidR="004B0E46" w:rsidRPr="00FF17EC">
        <w:t xml:space="preserve"> </w:t>
      </w:r>
      <w:r w:rsidRPr="00FF17EC">
        <w:t>for developing new</w:t>
      </w:r>
      <w:r w:rsidR="004B0E46" w:rsidRPr="00FF17EC">
        <w:t xml:space="preserve"> </w:t>
      </w:r>
      <w:r w:rsidRPr="00FF17EC">
        <w:t>wind power</w:t>
      </w:r>
      <w:r w:rsidR="004B0E46" w:rsidRPr="00FF17EC">
        <w:t xml:space="preserve"> </w:t>
      </w:r>
      <w:r w:rsidR="00185FA0" w:rsidRPr="00FF17EC">
        <w:t>centrals, in Oravița in Caraș S</w:t>
      </w:r>
      <w:r w:rsidRPr="00FF17EC">
        <w:t>everin, in</w:t>
      </w:r>
      <w:r w:rsidR="004B0E46" w:rsidRPr="00FF17EC">
        <w:t xml:space="preserve"> </w:t>
      </w:r>
      <w:r w:rsidR="00185FA0" w:rsidRPr="00FF17EC">
        <w:t>Moldova Nouă</w:t>
      </w:r>
      <w:r w:rsidR="00A24523" w:rsidRPr="00FF17EC">
        <w:t>.</w:t>
      </w:r>
    </w:p>
    <w:p w:rsidR="000D2782" w:rsidRPr="00FF17EC" w:rsidRDefault="00185FA0" w:rsidP="000D2782">
      <w:r w:rsidRPr="00FF17EC">
        <w:t>Mehedinț</w:t>
      </w:r>
      <w:r w:rsidR="000D2782" w:rsidRPr="00FF17EC">
        <w:t>i:along the hydro power related projects, there are also projects for developing new wind energy</w:t>
      </w:r>
      <w:r w:rsidR="004B0E46" w:rsidRPr="00FF17EC">
        <w:t xml:space="preserve"> </w:t>
      </w:r>
      <w:r w:rsidR="000D2782" w:rsidRPr="00FF17EC">
        <w:t>parks, in, Orşova Wind Farm is an under construction wind power project in Mehedinţi County, Romania</w:t>
      </w:r>
    </w:p>
    <w:p w:rsidR="000D2782" w:rsidRPr="00FF17EC" w:rsidRDefault="000D2782" w:rsidP="000D2782">
      <w:r w:rsidRPr="00FF17EC">
        <w:t>In Serbia there is a relevant potential for</w:t>
      </w:r>
      <w:r w:rsidR="004B0E46" w:rsidRPr="00FF17EC">
        <w:t xml:space="preserve"> </w:t>
      </w:r>
      <w:r w:rsidRPr="00FF17EC">
        <w:t xml:space="preserve">renewable energy, in particular Biomass power centrals and </w:t>
      </w:r>
      <w:r w:rsidR="006F6DBB" w:rsidRPr="00FF17EC">
        <w:rPr>
          <w:color w:val="000000"/>
          <w:w w:val="104"/>
        </w:rPr>
        <w:t>and Wind</w:t>
      </w:r>
      <w:r w:rsidRPr="00FF17EC">
        <w:t>, especially in the Braniceski and Borski districts.</w:t>
      </w:r>
      <w:r w:rsidRPr="00FF17EC">
        <w:rPr>
          <w:rStyle w:val="FootnoteReference"/>
        </w:rPr>
        <w:footnoteReference w:id="16"/>
      </w:r>
    </w:p>
    <w:p w:rsidR="000D2782" w:rsidRPr="00FF17EC" w:rsidRDefault="000D2782" w:rsidP="000D2782"/>
    <w:p w:rsidR="000D2782" w:rsidRPr="00FF17EC" w:rsidRDefault="000D2782" w:rsidP="000D2782">
      <w:pPr>
        <w:pStyle w:val="Heading2"/>
        <w:rPr>
          <w:rStyle w:val="Heading2Char"/>
        </w:rPr>
      </w:pPr>
      <w:r w:rsidRPr="00FF17EC">
        <w:t xml:space="preserve"> </w:t>
      </w:r>
      <w:bookmarkStart w:id="56" w:name="_Toc383163927"/>
      <w:bookmarkStart w:id="57" w:name="_Toc383415706"/>
      <w:r w:rsidRPr="00FF17EC">
        <w:t>Industrial infrastructures</w:t>
      </w:r>
      <w:bookmarkEnd w:id="56"/>
      <w:bookmarkEnd w:id="57"/>
    </w:p>
    <w:p w:rsidR="000D2782" w:rsidRPr="00FF17EC" w:rsidRDefault="000D2782" w:rsidP="000D2782">
      <w:r w:rsidRPr="00FF17EC">
        <w:t xml:space="preserve">In Romania, at county level, there are various industrial parks and business centres, in particular in </w:t>
      </w:r>
      <w:r w:rsidR="007A11B3" w:rsidRPr="00FF17EC">
        <w:t>Timiș</w:t>
      </w:r>
      <w:r w:rsidR="00CA1F31" w:rsidRPr="00FF17EC">
        <w:t xml:space="preserve"> County and Caraș</w:t>
      </w:r>
      <w:r w:rsidRPr="00FF17EC">
        <w:t xml:space="preserve"> Severin, while in </w:t>
      </w:r>
      <w:r w:rsidR="00CA1F31" w:rsidRPr="00FF17EC">
        <w:t>Mehedinț</w:t>
      </w:r>
      <w:r w:rsidRPr="00FF17EC">
        <w:t>i – there are</w:t>
      </w:r>
      <w:r w:rsidR="004B0E46" w:rsidRPr="00FF17EC">
        <w:t xml:space="preserve"> </w:t>
      </w:r>
      <w:r w:rsidRPr="00FF17EC">
        <w:t>no industrial parks / business centres.</w:t>
      </w:r>
    </w:p>
    <w:p w:rsidR="000D2782" w:rsidRPr="00FF17EC" w:rsidRDefault="000D2782" w:rsidP="000D2782">
      <w:r w:rsidRPr="00FF17EC">
        <w:rPr>
          <w:lang w:val="en-US"/>
        </w:rPr>
        <w:t>Regarding I</w:t>
      </w:r>
      <w:r w:rsidR="00CA1F31" w:rsidRPr="00FF17EC">
        <w:t>ndustrial parks</w:t>
      </w:r>
      <w:r w:rsidR="001C756E" w:rsidRPr="00FF17EC">
        <w:t>,</w:t>
      </w:r>
      <w:r w:rsidR="00634723" w:rsidRPr="00FF17EC">
        <w:t xml:space="preserve"> </w:t>
      </w:r>
      <w:r w:rsidR="001C756E" w:rsidRPr="00FF17EC">
        <w:t>among the most important can be mentioned the two</w:t>
      </w:r>
      <w:r w:rsidR="00634723" w:rsidRPr="00FF17EC">
        <w:t xml:space="preserve"> </w:t>
      </w:r>
      <w:r w:rsidRPr="00FF17EC">
        <w:t>in Timi</w:t>
      </w:r>
      <w:r w:rsidRPr="00FF17EC">
        <w:rPr>
          <w:lang w:val="ro-RO"/>
        </w:rPr>
        <w:t>ș</w:t>
      </w:r>
      <w:r w:rsidRPr="00FF17EC">
        <w:t>oara</w:t>
      </w:r>
      <w:r w:rsidR="001C756E" w:rsidRPr="00FF17EC">
        <w:t>,</w:t>
      </w:r>
      <w:r w:rsidR="00634723" w:rsidRPr="00FF17EC">
        <w:t xml:space="preserve"> </w:t>
      </w:r>
      <w:r w:rsidRPr="00FF17EC">
        <w:t>Freidorf Industrial Park owned by a partnership</w:t>
      </w:r>
      <w:r w:rsidR="004B0E46" w:rsidRPr="00FF17EC">
        <w:t xml:space="preserve"> </w:t>
      </w:r>
      <w:r w:rsidRPr="00FF17EC">
        <w:t>led by</w:t>
      </w:r>
      <w:r w:rsidR="004B0E46" w:rsidRPr="00FF17EC">
        <w:t xml:space="preserve"> </w:t>
      </w:r>
      <w:r w:rsidRPr="00FF17EC">
        <w:t xml:space="preserve">the City Hall of </w:t>
      </w:r>
      <w:r w:rsidR="007A11B3" w:rsidRPr="00FF17EC">
        <w:t>Timiș</w:t>
      </w:r>
      <w:r w:rsidRPr="00FF17EC">
        <w:t>oara, and</w:t>
      </w:r>
      <w:r w:rsidR="004B0E46" w:rsidRPr="00FF17EC">
        <w:t xml:space="preserve"> </w:t>
      </w:r>
      <w:r w:rsidR="001C756E" w:rsidRPr="00FF17EC">
        <w:t>t</w:t>
      </w:r>
      <w:r w:rsidRPr="00FF17EC">
        <w:t xml:space="preserve">he Technological and Industrial Park owned by the </w:t>
      </w:r>
      <w:r w:rsidR="007A11B3" w:rsidRPr="00FF17EC">
        <w:t>Timiș</w:t>
      </w:r>
      <w:r w:rsidR="001C756E" w:rsidRPr="00FF17EC">
        <w:t xml:space="preserve"> county council, and one</w:t>
      </w:r>
      <w:r w:rsidR="00634723" w:rsidRPr="00FF17EC">
        <w:t xml:space="preserve"> </w:t>
      </w:r>
      <w:r w:rsidRPr="00FF17EC">
        <w:t>in Mosnita Nouă (the Mosnita Noua Industrial Park);</w:t>
      </w:r>
    </w:p>
    <w:p w:rsidR="000D2782" w:rsidRPr="00FF17EC" w:rsidRDefault="000D2782" w:rsidP="000D2782">
      <w:r w:rsidRPr="00FF17EC">
        <w:t>Business centres: 1 business incubator</w:t>
      </w:r>
      <w:r w:rsidR="004B0E46" w:rsidRPr="00FF17EC">
        <w:t xml:space="preserve"> </w:t>
      </w:r>
      <w:r w:rsidRPr="00FF17EC">
        <w:t>- Business Incubator and Technological Transfer in IT Timișoara, created by a partnership of university and local administrations,</w:t>
      </w:r>
      <w:r w:rsidR="004B0E46" w:rsidRPr="00FF17EC">
        <w:t xml:space="preserve"> </w:t>
      </w:r>
      <w:r w:rsidRPr="00FF17EC">
        <w:t>and the support of the German bank for cooperation</w:t>
      </w:r>
      <w:r w:rsidR="004B0E46" w:rsidRPr="00FF17EC">
        <w:t xml:space="preserve"> </w:t>
      </w:r>
      <w:r w:rsidRPr="00FF17EC">
        <w:t>GTZl</w:t>
      </w:r>
      <w:r w:rsidRPr="00FF17EC">
        <w:rPr>
          <w:rStyle w:val="FootnoteReference"/>
        </w:rPr>
        <w:footnoteReference w:id="17"/>
      </w:r>
      <w:r w:rsidRPr="00FF17EC">
        <w:t>; and 1 Regional Business Centre in Timișoara –</w:t>
      </w:r>
    </w:p>
    <w:p w:rsidR="000D2782" w:rsidRPr="00FF17EC" w:rsidRDefault="000D2782" w:rsidP="000D2782">
      <w:r w:rsidRPr="00FF17EC">
        <w:t>In Caraș Severin an industrial park</w:t>
      </w:r>
      <w:r w:rsidR="004B0E46" w:rsidRPr="00FF17EC">
        <w:t xml:space="preserve"> </w:t>
      </w:r>
      <w:r w:rsidRPr="00FF17EC">
        <w:t>Valea Terovei Reșița, located on the former site of a chemical plant (brown field site conversion);</w:t>
      </w:r>
      <w:r w:rsidR="004B0E46" w:rsidRPr="00FF17EC">
        <w:t xml:space="preserve"> </w:t>
      </w:r>
      <w:r w:rsidRPr="00FF17EC">
        <w:t xml:space="preserve">3 business centers, financed by World Bank – in Anina </w:t>
      </w:r>
      <w:r w:rsidRPr="00FF17EC">
        <w:lastRenderedPageBreak/>
        <w:t>(services and commercial activities), Moldova Noua and Reșița; the first 2 were created for helping the underprivileged mining areas.</w:t>
      </w:r>
    </w:p>
    <w:p w:rsidR="000D2782" w:rsidRPr="00FF17EC" w:rsidRDefault="000D2782" w:rsidP="000D2782">
      <w:r w:rsidRPr="00FF17EC">
        <w:t>In</w:t>
      </w:r>
      <w:r w:rsidR="004B0E46" w:rsidRPr="00FF17EC">
        <w:t xml:space="preserve"> </w:t>
      </w:r>
      <w:r w:rsidRPr="00FF17EC">
        <w:t>Serbian districts</w:t>
      </w:r>
      <w:r w:rsidR="004B0E46" w:rsidRPr="00FF17EC">
        <w:t xml:space="preserve"> </w:t>
      </w:r>
      <w:r w:rsidRPr="00FF17EC">
        <w:t>a dense network of industrial areas can be observed, both in green field and brown field.</w:t>
      </w:r>
      <w:r w:rsidR="004B0E46" w:rsidRPr="00FF17EC">
        <w:t xml:space="preserve"> </w:t>
      </w:r>
      <w:r w:rsidRPr="00FF17EC">
        <w:t>Among the most relevant</w:t>
      </w:r>
      <w:r w:rsidR="004B0E46" w:rsidRPr="00FF17EC">
        <w:t xml:space="preserve"> </w:t>
      </w:r>
      <w:r w:rsidRPr="00FF17EC">
        <w:t>can be mentioned</w:t>
      </w:r>
      <w:r w:rsidR="004B0E46" w:rsidRPr="00FF17EC">
        <w:t xml:space="preserve"> </w:t>
      </w:r>
      <w:r w:rsidRPr="00FF17EC">
        <w:t>the Industrial Zone in Zrenjanin free zone, the Technology Park in Vršac,</w:t>
      </w:r>
      <w:r w:rsidR="004B0E46" w:rsidRPr="00FF17EC">
        <w:t xml:space="preserve"> </w:t>
      </w:r>
      <w:r w:rsidRPr="00FF17EC">
        <w:t>the industrial areas in Kanjiža, Kikinda, Pančevo.</w:t>
      </w:r>
      <w:r w:rsidR="004B0E46" w:rsidRPr="00FF17EC">
        <w:t xml:space="preserve"> </w:t>
      </w:r>
    </w:p>
    <w:p w:rsidR="007D1DDB" w:rsidRPr="00FF17EC" w:rsidRDefault="007D1DDB" w:rsidP="000D2782"/>
    <w:p w:rsidR="000D2782" w:rsidRPr="00FF17EC" w:rsidRDefault="000D2782" w:rsidP="000D2782">
      <w:pPr>
        <w:pStyle w:val="Heading2"/>
      </w:pPr>
      <w:bookmarkStart w:id="58" w:name="_Toc378857142"/>
      <w:bookmarkStart w:id="59" w:name="_Toc383163928"/>
      <w:bookmarkStart w:id="60" w:name="_Toc383415707"/>
      <w:r w:rsidRPr="00FF17EC">
        <w:t>SMEs</w:t>
      </w:r>
      <w:bookmarkEnd w:id="58"/>
      <w:bookmarkEnd w:id="59"/>
      <w:bookmarkEnd w:id="60"/>
      <w:r w:rsidRPr="00FF17EC">
        <w:t xml:space="preserve"> </w:t>
      </w:r>
    </w:p>
    <w:p w:rsidR="000D2782" w:rsidRPr="00FF17EC" w:rsidRDefault="000D2782" w:rsidP="000D2782">
      <w:r w:rsidRPr="00FF17EC">
        <w:t>SMEs occupy a prominent role in the</w:t>
      </w:r>
      <w:r w:rsidR="004B0E46" w:rsidRPr="00FF17EC">
        <w:t xml:space="preserve"> </w:t>
      </w:r>
      <w:r w:rsidRPr="00FF17EC">
        <w:t>economy of the eligible area. In terms of number of enterprises, SMEs represents</w:t>
      </w:r>
      <w:r w:rsidR="004B0E46" w:rsidRPr="00FF17EC">
        <w:t xml:space="preserve"> </w:t>
      </w:r>
      <w:r w:rsidRPr="00FF17EC">
        <w:t>for more than 98%</w:t>
      </w:r>
      <w:r w:rsidR="004B0E46" w:rsidRPr="00FF17EC">
        <w:t xml:space="preserve"> </w:t>
      </w:r>
      <w:r w:rsidRPr="00FF17EC">
        <w:t>in all areas, up to picks</w:t>
      </w:r>
      <w:r w:rsidR="004B0E46" w:rsidRPr="00FF17EC">
        <w:t xml:space="preserve"> </w:t>
      </w:r>
      <w:r w:rsidRPr="00FF17EC">
        <w:t xml:space="preserve">close to 100%, like for example, </w:t>
      </w:r>
      <w:r w:rsidR="00A73A7D" w:rsidRPr="00FF17EC">
        <w:rPr>
          <w:color w:val="000000"/>
          <w:spacing w:val="-1"/>
        </w:rPr>
        <w:t>in Zajecar in Serbia region where is 99,94%.</w:t>
      </w:r>
      <w:r w:rsidRPr="00FF17EC">
        <w:t xml:space="preserve">. Also the SME sector dominates in terms of employment in all regions and areas of Serbia. The SME sector has a dominant influence on the formation of trade and GDP in most regional areas, except in, </w:t>
      </w:r>
      <w:r w:rsidR="00A73A7D" w:rsidRPr="00FF17EC">
        <w:rPr>
          <w:color w:val="000000"/>
          <w:w w:val="106"/>
        </w:rPr>
        <w:t>South Backa,</w:t>
      </w:r>
      <w:r w:rsidRPr="00FF17EC">
        <w:t>, Bor and Branicevo regions.</w:t>
      </w:r>
    </w:p>
    <w:p w:rsidR="000D2782" w:rsidRPr="00FF17EC" w:rsidRDefault="000D2782" w:rsidP="000D2782">
      <w:r w:rsidRPr="00FF17EC">
        <w:t>In both countries in the last decade an intense development of the entrepreneurial activity led to an intensive growth of SMEs in all sectors of industrial productions and services</w:t>
      </w:r>
      <w:r w:rsidRPr="00FF17EC">
        <w:rPr>
          <w:rStyle w:val="FootnoteReference"/>
        </w:rPr>
        <w:footnoteReference w:id="18"/>
      </w:r>
      <w:r w:rsidRPr="00FF17EC">
        <w:t>. In the eligible area the density of SMEs</w:t>
      </w:r>
      <w:r w:rsidR="0084380E" w:rsidRPr="00FF17EC">
        <w:t>,</w:t>
      </w:r>
      <w:r w:rsidR="004B0E46" w:rsidRPr="00FF17EC">
        <w:t xml:space="preserve"> </w:t>
      </w:r>
      <w:r w:rsidRPr="00FF17EC">
        <w:t>measured as number of SMEs per 1000 of inhabitants</w:t>
      </w:r>
      <w:r w:rsidR="0084380E" w:rsidRPr="00FF17EC">
        <w:t>,</w:t>
      </w:r>
      <w:r w:rsidRPr="00FF17EC">
        <w:t xml:space="preserve"> is lower</w:t>
      </w:r>
      <w:r w:rsidR="004B0E46" w:rsidRPr="00FF17EC">
        <w:t xml:space="preserve"> </w:t>
      </w:r>
      <w:r w:rsidRPr="00FF17EC">
        <w:t xml:space="preserve">than the average in the two countries. However, the concentration of SMEs is strongly heterogeneous, confirming the dualism between the North and the South of the area. </w:t>
      </w:r>
    </w:p>
    <w:p w:rsidR="000D2782" w:rsidRPr="00FF17EC" w:rsidRDefault="000D2782" w:rsidP="000D2782">
      <w:r w:rsidRPr="00FF17EC">
        <w:t>In particular, in the Romanian counties, the concentration of SMEs in</w:t>
      </w:r>
      <w:r w:rsidR="004B0E46" w:rsidRPr="00FF17EC">
        <w:t xml:space="preserve"> </w:t>
      </w:r>
      <w:r w:rsidRPr="00FF17EC">
        <w:t xml:space="preserve">Timișoara is largely stronger, more than two times the indicator, than that of the other two counties. In </w:t>
      </w:r>
    </w:p>
    <w:p w:rsidR="000D2782" w:rsidRPr="00FF17EC" w:rsidRDefault="000D2782" w:rsidP="000D2782">
      <w:r w:rsidRPr="00FF17EC">
        <w:t>The SMEs dominate in all regions and most regional areas of Serbia in 2012. In the eligible area</w:t>
      </w:r>
      <w:r w:rsidR="004B0E46" w:rsidRPr="00FF17EC">
        <w:t xml:space="preserve"> </w:t>
      </w:r>
      <w:r w:rsidRPr="00FF17EC">
        <w:t xml:space="preserve">four out of five districts show a density around 25% lower than the national average, while the South Banat is above the national average. </w:t>
      </w:r>
    </w:p>
    <w:p w:rsidR="000D2782" w:rsidRPr="00FF17EC" w:rsidRDefault="000D2782" w:rsidP="000D2782"/>
    <w:p w:rsidR="000D2782" w:rsidRPr="00FF17EC" w:rsidRDefault="002732E9" w:rsidP="000D2782">
      <w:pPr>
        <w:pStyle w:val="Caption"/>
        <w:jc w:val="center"/>
        <w:rPr>
          <w:sz w:val="22"/>
        </w:rPr>
      </w:pPr>
      <w:r w:rsidRPr="00FF17EC">
        <w:rPr>
          <w:noProof/>
          <w:lang w:eastAsia="en-GB"/>
        </w:rPr>
        <w:lastRenderedPageBreak/>
        <w:drawing>
          <wp:inline distT="0" distB="0" distL="0" distR="0">
            <wp:extent cx="4953000" cy="3209925"/>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0D2782" w:rsidRPr="00FF17EC" w:rsidRDefault="000D2782" w:rsidP="000D2782">
      <w:pPr>
        <w:pStyle w:val="Caption"/>
        <w:jc w:val="center"/>
        <w:rPr>
          <w:sz w:val="20"/>
        </w:rPr>
      </w:pPr>
      <w:r w:rsidRPr="00FF17EC">
        <w:rPr>
          <w:sz w:val="22"/>
        </w:rPr>
        <w:t xml:space="preserve">Graph </w:t>
      </w:r>
      <w:r w:rsidR="00085686" w:rsidRPr="00FF17EC">
        <w:rPr>
          <w:sz w:val="22"/>
        </w:rPr>
        <w:fldChar w:fldCharType="begin"/>
      </w:r>
      <w:r w:rsidRPr="00FF17EC">
        <w:rPr>
          <w:sz w:val="22"/>
        </w:rPr>
        <w:instrText xml:space="preserve"> STYLEREF 1 \s </w:instrText>
      </w:r>
      <w:r w:rsidR="00085686" w:rsidRPr="00FF17EC">
        <w:rPr>
          <w:sz w:val="22"/>
        </w:rPr>
        <w:fldChar w:fldCharType="separate"/>
      </w:r>
      <w:r w:rsidR="009737E5">
        <w:rPr>
          <w:noProof/>
          <w:sz w:val="22"/>
        </w:rPr>
        <w:t>4</w:t>
      </w:r>
      <w:r w:rsidR="00085686" w:rsidRPr="00FF17EC">
        <w:rPr>
          <w:sz w:val="22"/>
        </w:rPr>
        <w:fldChar w:fldCharType="end"/>
      </w:r>
      <w:r w:rsidRPr="00FF17EC">
        <w:rPr>
          <w:sz w:val="22"/>
        </w:rPr>
        <w:noBreakHyphen/>
      </w:r>
      <w:r w:rsidR="00085686" w:rsidRPr="00FF17EC">
        <w:rPr>
          <w:sz w:val="22"/>
        </w:rPr>
        <w:fldChar w:fldCharType="begin"/>
      </w:r>
      <w:r w:rsidRPr="00FF17EC">
        <w:rPr>
          <w:sz w:val="22"/>
        </w:rPr>
        <w:instrText xml:space="preserve"> SEQ Graph \* ARABIC \s 1 </w:instrText>
      </w:r>
      <w:r w:rsidR="00085686" w:rsidRPr="00FF17EC">
        <w:rPr>
          <w:sz w:val="22"/>
        </w:rPr>
        <w:fldChar w:fldCharType="separate"/>
      </w:r>
      <w:r w:rsidR="009737E5">
        <w:rPr>
          <w:noProof/>
          <w:sz w:val="22"/>
        </w:rPr>
        <w:t>2</w:t>
      </w:r>
      <w:r w:rsidR="00085686" w:rsidRPr="00FF17EC">
        <w:rPr>
          <w:sz w:val="22"/>
        </w:rPr>
        <w:fldChar w:fldCharType="end"/>
      </w:r>
      <w:r w:rsidRPr="00FF17EC">
        <w:rPr>
          <w:sz w:val="22"/>
        </w:rPr>
        <w:t xml:space="preserve"> Density of SMEs in the eligible area in 2011</w:t>
      </w:r>
      <w:r w:rsidRPr="00FF17EC">
        <w:rPr>
          <w:rStyle w:val="FootnoteReference"/>
          <w:sz w:val="20"/>
        </w:rPr>
        <w:footnoteReference w:id="19"/>
      </w:r>
    </w:p>
    <w:p w:rsidR="000D2782" w:rsidRPr="00FF17EC" w:rsidRDefault="000D2782" w:rsidP="000D2782"/>
    <w:p w:rsidR="000D2782" w:rsidRPr="00FF17EC" w:rsidRDefault="000D2782" w:rsidP="000D2782">
      <w:r w:rsidRPr="00FF17EC">
        <w:t xml:space="preserve">The differences might be caused by main factors, as the presence of growth poles with strong FDI, like in Timiș </w:t>
      </w:r>
      <w:r w:rsidR="0084380E" w:rsidRPr="00FF17EC">
        <w:t>County</w:t>
      </w:r>
      <w:r w:rsidRPr="00FF17EC">
        <w:t>, the proximity to metropolitan areas like for the South Banat, the industrial structure concentrated in traditional sectors and large companies, like in Bor.</w:t>
      </w:r>
    </w:p>
    <w:p w:rsidR="000D2782" w:rsidRPr="00FF17EC" w:rsidRDefault="000D2782" w:rsidP="000D2782">
      <w:r w:rsidRPr="00FF17EC">
        <w:t>For a better understanding of the</w:t>
      </w:r>
      <w:r w:rsidR="004B0E46" w:rsidRPr="00FF17EC">
        <w:t xml:space="preserve"> </w:t>
      </w:r>
      <w:r w:rsidRPr="00FF17EC">
        <w:t>role of SMEs and the potential contribution to economic development, it is necessary to look in deeper detail in the composition of the SMEs system,</w:t>
      </w:r>
      <w:r w:rsidR="004B0E46" w:rsidRPr="00FF17EC">
        <w:t xml:space="preserve"> </w:t>
      </w:r>
      <w:r w:rsidRPr="00FF17EC">
        <w:t>first of all in terms of size. In</w:t>
      </w:r>
      <w:r w:rsidR="0084380E" w:rsidRPr="00FF17EC">
        <w:t xml:space="preserve"> </w:t>
      </w:r>
      <w:r w:rsidRPr="00FF17EC">
        <w:t>fact</w:t>
      </w:r>
      <w:r w:rsidR="0084380E" w:rsidRPr="00FF17EC">
        <w:t>,</w:t>
      </w:r>
      <w:r w:rsidRPr="00FF17EC">
        <w:t xml:space="preserve"> all companies between one and 250 employee are classified as SMEs, but obviously the role and the potential economic impact of the companies at the two extremes of the range are substantially different.</w:t>
      </w:r>
      <w:r w:rsidR="004B0E46" w:rsidRPr="00FF17EC">
        <w:t xml:space="preserve"> </w:t>
      </w:r>
    </w:p>
    <w:p w:rsidR="000D2782" w:rsidRPr="00FF17EC" w:rsidRDefault="000D2782" w:rsidP="000D2782">
      <w:r w:rsidRPr="00FF17EC">
        <w:t>Looking at the distribution of SMEs in the size classification of Micro, small and medium</w:t>
      </w:r>
      <w:r w:rsidR="004B0E46" w:rsidRPr="00FF17EC">
        <w:t xml:space="preserve"> </w:t>
      </w:r>
      <w:r w:rsidRPr="00FF17EC">
        <w:t xml:space="preserve">enterprises, based on the number of employee, a substantial heterogeneity emerges, in this case between the two sides of the Border. In Romanian eligible area the small and medium </w:t>
      </w:r>
      <w:r w:rsidRPr="00FF17EC">
        <w:lastRenderedPageBreak/>
        <w:t xml:space="preserve">companies, </w:t>
      </w:r>
      <w:r w:rsidR="002157B5" w:rsidRPr="00FF17EC">
        <w:t>those larger then 9 employees</w:t>
      </w:r>
      <w:r w:rsidRPr="00FF17EC">
        <w:t>, represent a relevant share of the total. On the contrary in Serbia almost all SMEs are concentrated in the class “Micr</w:t>
      </w:r>
      <w:r w:rsidR="00A62261" w:rsidRPr="00FF17EC">
        <w:t>o” (Table 4.4</w:t>
      </w:r>
      <w:r w:rsidRPr="00FF17EC">
        <w:t>). In both countries the</w:t>
      </w:r>
      <w:r w:rsidR="004B0E46" w:rsidRPr="00FF17EC">
        <w:t xml:space="preserve"> </w:t>
      </w:r>
      <w:r w:rsidRPr="00FF17EC">
        <w:t>structure in the eligible area is close to that at national levels.</w:t>
      </w:r>
    </w:p>
    <w:p w:rsidR="000D2782" w:rsidRPr="00FF17EC" w:rsidRDefault="000D2782" w:rsidP="000D2782"/>
    <w:tbl>
      <w:tblPr>
        <w:tblW w:w="6038" w:type="dxa"/>
        <w:jc w:val="center"/>
        <w:tblCellMar>
          <w:left w:w="70" w:type="dxa"/>
          <w:right w:w="70" w:type="dxa"/>
        </w:tblCellMar>
        <w:tblLook w:val="04A0" w:firstRow="1" w:lastRow="0" w:firstColumn="1" w:lastColumn="0" w:noHBand="0" w:noVBand="1"/>
      </w:tblPr>
      <w:tblGrid>
        <w:gridCol w:w="2410"/>
        <w:gridCol w:w="1236"/>
        <w:gridCol w:w="1196"/>
        <w:gridCol w:w="1196"/>
      </w:tblGrid>
      <w:tr w:rsidR="000D2782" w:rsidRPr="00FF17EC" w:rsidTr="000D2782">
        <w:trPr>
          <w:trHeight w:val="459"/>
          <w:jc w:val="center"/>
        </w:trPr>
        <w:tc>
          <w:tcPr>
            <w:tcW w:w="2410" w:type="dxa"/>
            <w:tcBorders>
              <w:top w:val="single" w:sz="4" w:space="0" w:color="auto"/>
              <w:left w:val="nil"/>
              <w:bottom w:val="single" w:sz="4" w:space="0" w:color="auto"/>
              <w:right w:val="nil"/>
            </w:tcBorders>
            <w:shd w:val="clear" w:color="000000" w:fill="FFFFFF"/>
            <w:noWrap/>
            <w:vAlign w:val="bottom"/>
            <w:hideMark/>
          </w:tcPr>
          <w:p w:rsidR="000D2782" w:rsidRPr="00FF17EC" w:rsidRDefault="000D2782" w:rsidP="000D2782">
            <w:pPr>
              <w:keepNext/>
              <w:spacing w:after="0" w:line="240" w:lineRule="auto"/>
              <w:jc w:val="center"/>
              <w:rPr>
                <w:lang w:val="en-US" w:eastAsia="it-IT"/>
              </w:rPr>
            </w:pPr>
          </w:p>
        </w:tc>
        <w:tc>
          <w:tcPr>
            <w:tcW w:w="3628" w:type="dxa"/>
            <w:gridSpan w:val="3"/>
            <w:tcBorders>
              <w:top w:val="single" w:sz="4" w:space="0" w:color="auto"/>
              <w:left w:val="nil"/>
              <w:bottom w:val="single" w:sz="4" w:space="0" w:color="auto"/>
              <w:right w:val="nil"/>
            </w:tcBorders>
            <w:shd w:val="clear" w:color="000000" w:fill="FFFFFF"/>
            <w:noWrap/>
            <w:vAlign w:val="bottom"/>
            <w:hideMark/>
          </w:tcPr>
          <w:p w:rsidR="000D2782" w:rsidRPr="00FF17EC" w:rsidRDefault="000D2782" w:rsidP="000D2782">
            <w:pPr>
              <w:keepNext/>
              <w:spacing w:after="0" w:line="240" w:lineRule="auto"/>
              <w:jc w:val="center"/>
              <w:rPr>
                <w:b/>
                <w:lang w:val="en-US" w:eastAsia="it-IT"/>
              </w:rPr>
            </w:pPr>
            <w:r w:rsidRPr="00FF17EC">
              <w:rPr>
                <w:b/>
                <w:lang w:val="en-US" w:eastAsia="it-IT"/>
              </w:rPr>
              <w:t>Number of SME / Total (classified per number of employee)</w:t>
            </w:r>
          </w:p>
        </w:tc>
      </w:tr>
      <w:tr w:rsidR="000D2782" w:rsidRPr="00FF17EC" w:rsidTr="000D2782">
        <w:trPr>
          <w:trHeight w:val="267"/>
          <w:jc w:val="center"/>
        </w:trPr>
        <w:tc>
          <w:tcPr>
            <w:tcW w:w="2410" w:type="dxa"/>
            <w:tcBorders>
              <w:top w:val="single" w:sz="4" w:space="0" w:color="auto"/>
              <w:left w:val="nil"/>
              <w:bottom w:val="single" w:sz="4" w:space="0" w:color="auto"/>
              <w:right w:val="nil"/>
            </w:tcBorders>
            <w:shd w:val="clear" w:color="000000" w:fill="FFFFFF"/>
            <w:noWrap/>
            <w:vAlign w:val="bottom"/>
            <w:hideMark/>
          </w:tcPr>
          <w:p w:rsidR="000D2782" w:rsidRPr="00FF17EC" w:rsidRDefault="000D2782" w:rsidP="000D2782">
            <w:pPr>
              <w:keepNext/>
              <w:spacing w:after="0" w:line="240" w:lineRule="auto"/>
              <w:jc w:val="center"/>
              <w:rPr>
                <w:lang w:val="en-US" w:eastAsia="it-IT"/>
              </w:rPr>
            </w:pPr>
          </w:p>
        </w:tc>
        <w:tc>
          <w:tcPr>
            <w:tcW w:w="1236" w:type="dxa"/>
            <w:tcBorders>
              <w:top w:val="single" w:sz="4" w:space="0" w:color="auto"/>
              <w:left w:val="nil"/>
              <w:bottom w:val="single" w:sz="4" w:space="0" w:color="auto"/>
              <w:right w:val="nil"/>
            </w:tcBorders>
            <w:shd w:val="clear" w:color="000000" w:fill="FFFFFF"/>
            <w:noWrap/>
            <w:vAlign w:val="bottom"/>
            <w:hideMark/>
          </w:tcPr>
          <w:p w:rsidR="000D2782" w:rsidRPr="00FF17EC" w:rsidRDefault="000D2782" w:rsidP="000D2782">
            <w:pPr>
              <w:keepNext/>
              <w:spacing w:after="0" w:line="240" w:lineRule="auto"/>
              <w:jc w:val="center"/>
              <w:rPr>
                <w:lang w:val="it-IT" w:eastAsia="it-IT"/>
              </w:rPr>
            </w:pPr>
            <w:r w:rsidRPr="00FF17EC">
              <w:rPr>
                <w:lang w:val="it-IT" w:eastAsia="it-IT"/>
              </w:rPr>
              <w:t>Micro &lt;9</w:t>
            </w:r>
          </w:p>
        </w:tc>
        <w:tc>
          <w:tcPr>
            <w:tcW w:w="1196" w:type="dxa"/>
            <w:tcBorders>
              <w:top w:val="single" w:sz="4" w:space="0" w:color="auto"/>
              <w:left w:val="nil"/>
              <w:bottom w:val="single" w:sz="4" w:space="0" w:color="auto"/>
              <w:right w:val="nil"/>
            </w:tcBorders>
            <w:shd w:val="clear" w:color="000000" w:fill="FFFFFF"/>
            <w:noWrap/>
            <w:vAlign w:val="bottom"/>
            <w:hideMark/>
          </w:tcPr>
          <w:p w:rsidR="000D2782" w:rsidRPr="00FF17EC" w:rsidRDefault="000D2782" w:rsidP="000D2782">
            <w:pPr>
              <w:keepNext/>
              <w:spacing w:after="0" w:line="240" w:lineRule="auto"/>
              <w:jc w:val="center"/>
              <w:rPr>
                <w:lang w:val="it-IT" w:eastAsia="it-IT"/>
              </w:rPr>
            </w:pPr>
            <w:r w:rsidRPr="00FF17EC">
              <w:rPr>
                <w:lang w:val="it-IT" w:eastAsia="it-IT"/>
              </w:rPr>
              <w:t>Small</w:t>
            </w:r>
          </w:p>
          <w:p w:rsidR="000D2782" w:rsidRPr="00FF17EC" w:rsidRDefault="000D2782" w:rsidP="000D2782">
            <w:pPr>
              <w:keepNext/>
              <w:spacing w:after="0" w:line="240" w:lineRule="auto"/>
              <w:jc w:val="center"/>
              <w:rPr>
                <w:lang w:val="it-IT" w:eastAsia="it-IT"/>
              </w:rPr>
            </w:pPr>
            <w:r w:rsidRPr="00FF17EC">
              <w:rPr>
                <w:lang w:val="it-IT" w:eastAsia="it-IT"/>
              </w:rPr>
              <w:t>&gt;10 &lt; 50</w:t>
            </w:r>
          </w:p>
        </w:tc>
        <w:tc>
          <w:tcPr>
            <w:tcW w:w="1196" w:type="dxa"/>
            <w:tcBorders>
              <w:top w:val="single" w:sz="4" w:space="0" w:color="auto"/>
              <w:left w:val="nil"/>
              <w:bottom w:val="single" w:sz="4" w:space="0" w:color="auto"/>
              <w:right w:val="nil"/>
            </w:tcBorders>
            <w:shd w:val="clear" w:color="000000" w:fill="FFFFFF"/>
            <w:noWrap/>
            <w:vAlign w:val="bottom"/>
            <w:hideMark/>
          </w:tcPr>
          <w:p w:rsidR="000D2782" w:rsidRPr="00FF17EC" w:rsidRDefault="000D2782" w:rsidP="000D2782">
            <w:pPr>
              <w:keepNext/>
              <w:spacing w:after="0" w:line="240" w:lineRule="auto"/>
              <w:jc w:val="center"/>
              <w:rPr>
                <w:lang w:val="it-IT" w:eastAsia="it-IT"/>
              </w:rPr>
            </w:pPr>
            <w:r w:rsidRPr="00FF17EC">
              <w:rPr>
                <w:lang w:val="it-IT" w:eastAsia="it-IT"/>
              </w:rPr>
              <w:t>Medium</w:t>
            </w:r>
          </w:p>
          <w:p w:rsidR="000D2782" w:rsidRPr="00FF17EC" w:rsidRDefault="000D2782" w:rsidP="000D2782">
            <w:pPr>
              <w:keepNext/>
              <w:spacing w:after="0" w:line="240" w:lineRule="auto"/>
              <w:jc w:val="center"/>
              <w:rPr>
                <w:lang w:val="it-IT" w:eastAsia="it-IT"/>
              </w:rPr>
            </w:pPr>
            <w:r w:rsidRPr="00FF17EC">
              <w:rPr>
                <w:lang w:val="it-IT" w:eastAsia="it-IT"/>
              </w:rPr>
              <w:t>&gt; 51 &lt;250</w:t>
            </w:r>
          </w:p>
        </w:tc>
      </w:tr>
      <w:tr w:rsidR="000D2782" w:rsidRPr="00FF17EC" w:rsidTr="000D2782">
        <w:trPr>
          <w:trHeight w:val="540"/>
          <w:jc w:val="center"/>
        </w:trPr>
        <w:tc>
          <w:tcPr>
            <w:tcW w:w="2410" w:type="dxa"/>
            <w:tcBorders>
              <w:top w:val="nil"/>
              <w:left w:val="nil"/>
              <w:bottom w:val="nil"/>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Timiş</w:t>
            </w:r>
          </w:p>
        </w:tc>
        <w:tc>
          <w:tcPr>
            <w:tcW w:w="123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87%</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11%</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2%</w:t>
            </w:r>
          </w:p>
        </w:tc>
      </w:tr>
      <w:tr w:rsidR="000D2782" w:rsidRPr="00FF17EC" w:rsidTr="000D2782">
        <w:trPr>
          <w:trHeight w:val="300"/>
          <w:jc w:val="center"/>
        </w:trPr>
        <w:tc>
          <w:tcPr>
            <w:tcW w:w="2410" w:type="dxa"/>
            <w:tcBorders>
              <w:top w:val="nil"/>
              <w:left w:val="nil"/>
              <w:bottom w:val="nil"/>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Caraş-Severin</w:t>
            </w:r>
          </w:p>
        </w:tc>
        <w:tc>
          <w:tcPr>
            <w:tcW w:w="123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87%</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11%</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2%</w:t>
            </w:r>
          </w:p>
        </w:tc>
      </w:tr>
      <w:tr w:rsidR="000D2782" w:rsidRPr="00FF17EC" w:rsidTr="000D2782">
        <w:trPr>
          <w:trHeight w:val="300"/>
          <w:jc w:val="center"/>
        </w:trPr>
        <w:tc>
          <w:tcPr>
            <w:tcW w:w="2410" w:type="dxa"/>
            <w:tcBorders>
              <w:top w:val="nil"/>
              <w:left w:val="nil"/>
              <w:bottom w:val="nil"/>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Mehedinţi</w:t>
            </w:r>
          </w:p>
        </w:tc>
        <w:tc>
          <w:tcPr>
            <w:tcW w:w="123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86%</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12%</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2%</w:t>
            </w:r>
          </w:p>
        </w:tc>
      </w:tr>
      <w:tr w:rsidR="000D2782" w:rsidRPr="00FF17EC" w:rsidTr="000D2782">
        <w:trPr>
          <w:trHeight w:val="330"/>
          <w:jc w:val="center"/>
        </w:trPr>
        <w:tc>
          <w:tcPr>
            <w:tcW w:w="2410" w:type="dxa"/>
            <w:tcBorders>
              <w:top w:val="nil"/>
              <w:left w:val="nil"/>
              <w:bottom w:val="nil"/>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Romania EA</w:t>
            </w:r>
          </w:p>
        </w:tc>
        <w:tc>
          <w:tcPr>
            <w:tcW w:w="123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87%</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11%</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2%</w:t>
            </w:r>
          </w:p>
        </w:tc>
      </w:tr>
      <w:tr w:rsidR="000D2782" w:rsidRPr="00FF17EC" w:rsidTr="000D2782">
        <w:trPr>
          <w:trHeight w:val="330"/>
          <w:jc w:val="center"/>
        </w:trPr>
        <w:tc>
          <w:tcPr>
            <w:tcW w:w="2410" w:type="dxa"/>
            <w:tcBorders>
              <w:top w:val="nil"/>
              <w:left w:val="nil"/>
              <w:bottom w:val="nil"/>
              <w:right w:val="nil"/>
            </w:tcBorders>
            <w:shd w:val="clear" w:color="000000" w:fill="FFFFFF"/>
            <w:noWrap/>
            <w:hideMark/>
          </w:tcPr>
          <w:p w:rsidR="000D2782" w:rsidRPr="00FF17EC" w:rsidRDefault="000D2782" w:rsidP="000D2782">
            <w:pPr>
              <w:keepNext/>
              <w:spacing w:after="0" w:line="240" w:lineRule="auto"/>
              <w:jc w:val="center"/>
              <w:rPr>
                <w:b/>
                <w:lang w:val="it-IT" w:eastAsia="it-IT"/>
              </w:rPr>
            </w:pPr>
            <w:r w:rsidRPr="00FF17EC">
              <w:rPr>
                <w:b/>
                <w:lang w:val="it-IT" w:eastAsia="it-IT"/>
              </w:rPr>
              <w:t>ROMANIA</w:t>
            </w:r>
          </w:p>
        </w:tc>
        <w:tc>
          <w:tcPr>
            <w:tcW w:w="123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b/>
                <w:lang w:val="it-IT" w:eastAsia="it-IT"/>
              </w:rPr>
            </w:pPr>
            <w:r w:rsidRPr="00FF17EC">
              <w:rPr>
                <w:rFonts w:cs="Arial"/>
                <w:b/>
                <w:lang w:val="it-IT" w:eastAsia="it-IT"/>
              </w:rPr>
              <w:t>88%</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b/>
                <w:lang w:val="it-IT" w:eastAsia="it-IT"/>
              </w:rPr>
            </w:pPr>
            <w:r w:rsidRPr="00FF17EC">
              <w:rPr>
                <w:rFonts w:cs="Arial"/>
                <w:b/>
                <w:lang w:val="it-IT" w:eastAsia="it-IT"/>
              </w:rPr>
              <w:t>11%</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b/>
                <w:lang w:val="it-IT" w:eastAsia="it-IT"/>
              </w:rPr>
            </w:pPr>
            <w:r w:rsidRPr="00FF17EC">
              <w:rPr>
                <w:rFonts w:cs="Arial"/>
                <w:b/>
                <w:lang w:val="it-IT" w:eastAsia="it-IT"/>
              </w:rPr>
              <w:t>2%</w:t>
            </w:r>
          </w:p>
        </w:tc>
      </w:tr>
      <w:tr w:rsidR="000D2782" w:rsidRPr="00FF17EC" w:rsidTr="000D2782">
        <w:trPr>
          <w:trHeight w:val="315"/>
          <w:jc w:val="center"/>
        </w:trPr>
        <w:tc>
          <w:tcPr>
            <w:tcW w:w="2410" w:type="dxa"/>
            <w:tcBorders>
              <w:top w:val="nil"/>
              <w:left w:val="nil"/>
              <w:bottom w:val="nil"/>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Severno-Banatski</w:t>
            </w:r>
          </w:p>
        </w:tc>
        <w:tc>
          <w:tcPr>
            <w:tcW w:w="123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96%</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3%</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1%</w:t>
            </w:r>
          </w:p>
        </w:tc>
      </w:tr>
      <w:tr w:rsidR="000D2782" w:rsidRPr="00FF17EC" w:rsidTr="000D2782">
        <w:trPr>
          <w:trHeight w:val="285"/>
          <w:jc w:val="center"/>
        </w:trPr>
        <w:tc>
          <w:tcPr>
            <w:tcW w:w="2410" w:type="dxa"/>
            <w:tcBorders>
              <w:top w:val="nil"/>
              <w:left w:val="nil"/>
              <w:bottom w:val="nil"/>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Srednje-Banatski</w:t>
            </w:r>
          </w:p>
        </w:tc>
        <w:tc>
          <w:tcPr>
            <w:tcW w:w="123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96%</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3%</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1%</w:t>
            </w:r>
          </w:p>
        </w:tc>
      </w:tr>
      <w:tr w:rsidR="000D2782" w:rsidRPr="00FF17EC" w:rsidTr="000D2782">
        <w:trPr>
          <w:trHeight w:val="300"/>
          <w:jc w:val="center"/>
        </w:trPr>
        <w:tc>
          <w:tcPr>
            <w:tcW w:w="2410" w:type="dxa"/>
            <w:tcBorders>
              <w:top w:val="nil"/>
              <w:left w:val="nil"/>
              <w:bottom w:val="nil"/>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Južno-Banatski</w:t>
            </w:r>
          </w:p>
        </w:tc>
        <w:tc>
          <w:tcPr>
            <w:tcW w:w="123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97%</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2%</w:t>
            </w:r>
          </w:p>
        </w:tc>
        <w:tc>
          <w:tcPr>
            <w:tcW w:w="1196" w:type="dxa"/>
            <w:tcBorders>
              <w:top w:val="nil"/>
              <w:left w:val="nil"/>
              <w:bottom w:val="nil"/>
              <w:right w:val="nil"/>
            </w:tcBorders>
            <w:shd w:val="clear" w:color="000000" w:fill="FFFFFF"/>
            <w:noWrap/>
            <w:vAlign w:val="center"/>
            <w:hideMark/>
          </w:tcPr>
          <w:p w:rsidR="000D2782" w:rsidRPr="00FF17EC" w:rsidRDefault="004B41F0" w:rsidP="000D2782">
            <w:pPr>
              <w:keepNext/>
              <w:spacing w:after="0" w:line="240" w:lineRule="auto"/>
              <w:jc w:val="center"/>
              <w:rPr>
                <w:rFonts w:cs="Arial"/>
                <w:lang w:val="it-IT" w:eastAsia="it-IT"/>
              </w:rPr>
            </w:pPr>
            <w:r w:rsidRPr="00FF17EC">
              <w:rPr>
                <w:rFonts w:cs="Arial"/>
                <w:lang w:val="it-IT" w:eastAsia="it-IT"/>
              </w:rPr>
              <w:t>1%</w:t>
            </w:r>
          </w:p>
        </w:tc>
      </w:tr>
      <w:tr w:rsidR="003A35C4" w:rsidRPr="00FF17EC" w:rsidTr="000D2782">
        <w:trPr>
          <w:trHeight w:val="300"/>
          <w:jc w:val="center"/>
        </w:trPr>
        <w:tc>
          <w:tcPr>
            <w:tcW w:w="2410" w:type="dxa"/>
            <w:tcBorders>
              <w:top w:val="nil"/>
              <w:left w:val="nil"/>
              <w:bottom w:val="nil"/>
              <w:right w:val="nil"/>
            </w:tcBorders>
            <w:shd w:val="clear" w:color="000000" w:fill="FFFFFF"/>
            <w:noWrap/>
          </w:tcPr>
          <w:p w:rsidR="003A35C4" w:rsidRPr="00FF17EC" w:rsidRDefault="003A35C4" w:rsidP="000D2782">
            <w:pPr>
              <w:keepNext/>
              <w:spacing w:after="0" w:line="240" w:lineRule="auto"/>
              <w:jc w:val="center"/>
              <w:rPr>
                <w:lang w:val="it-IT" w:eastAsia="it-IT"/>
              </w:rPr>
            </w:pPr>
            <w:r w:rsidRPr="00FF17EC">
              <w:rPr>
                <w:lang w:val="it-IT" w:eastAsia="it-IT"/>
              </w:rPr>
              <w:t>Podunavki</w:t>
            </w:r>
          </w:p>
        </w:tc>
        <w:tc>
          <w:tcPr>
            <w:tcW w:w="1236" w:type="dxa"/>
            <w:tcBorders>
              <w:top w:val="nil"/>
              <w:left w:val="nil"/>
              <w:bottom w:val="nil"/>
              <w:right w:val="nil"/>
            </w:tcBorders>
            <w:shd w:val="clear" w:color="000000" w:fill="FFFFFF"/>
            <w:noWrap/>
            <w:vAlign w:val="center"/>
          </w:tcPr>
          <w:p w:rsidR="003A35C4" w:rsidRPr="00FF17EC" w:rsidRDefault="004B41F0" w:rsidP="000D2782">
            <w:pPr>
              <w:keepNext/>
              <w:spacing w:after="0" w:line="240" w:lineRule="auto"/>
              <w:jc w:val="center"/>
              <w:rPr>
                <w:rFonts w:cs="Arial"/>
                <w:lang w:val="it-IT" w:eastAsia="it-IT"/>
              </w:rPr>
            </w:pPr>
            <w:r w:rsidRPr="00FF17EC">
              <w:rPr>
                <w:rFonts w:cs="Arial"/>
                <w:lang w:val="it-IT" w:eastAsia="it-IT"/>
              </w:rPr>
              <w:t>97%</w:t>
            </w:r>
          </w:p>
        </w:tc>
        <w:tc>
          <w:tcPr>
            <w:tcW w:w="1196" w:type="dxa"/>
            <w:tcBorders>
              <w:top w:val="nil"/>
              <w:left w:val="nil"/>
              <w:bottom w:val="nil"/>
              <w:right w:val="nil"/>
            </w:tcBorders>
            <w:shd w:val="clear" w:color="000000" w:fill="FFFFFF"/>
            <w:noWrap/>
            <w:vAlign w:val="center"/>
          </w:tcPr>
          <w:p w:rsidR="003A35C4" w:rsidRPr="00FF17EC" w:rsidRDefault="004B41F0" w:rsidP="000D2782">
            <w:pPr>
              <w:keepNext/>
              <w:spacing w:after="0" w:line="240" w:lineRule="auto"/>
              <w:jc w:val="center"/>
              <w:rPr>
                <w:rFonts w:cs="Arial"/>
                <w:lang w:val="it-IT" w:eastAsia="it-IT"/>
              </w:rPr>
            </w:pPr>
            <w:r w:rsidRPr="00FF17EC">
              <w:rPr>
                <w:rFonts w:cs="Arial"/>
                <w:lang w:val="it-IT" w:eastAsia="it-IT"/>
              </w:rPr>
              <w:t>2%</w:t>
            </w:r>
          </w:p>
        </w:tc>
        <w:tc>
          <w:tcPr>
            <w:tcW w:w="1196" w:type="dxa"/>
            <w:tcBorders>
              <w:top w:val="nil"/>
              <w:left w:val="nil"/>
              <w:bottom w:val="nil"/>
              <w:right w:val="nil"/>
            </w:tcBorders>
            <w:shd w:val="clear" w:color="000000" w:fill="FFFFFF"/>
            <w:noWrap/>
            <w:vAlign w:val="center"/>
          </w:tcPr>
          <w:p w:rsidR="003A35C4" w:rsidRPr="00FF17EC" w:rsidRDefault="004B41F0" w:rsidP="000D2782">
            <w:pPr>
              <w:keepNext/>
              <w:spacing w:after="0" w:line="240" w:lineRule="auto"/>
              <w:jc w:val="center"/>
              <w:rPr>
                <w:rFonts w:cs="Arial"/>
                <w:lang w:val="it-IT" w:eastAsia="it-IT"/>
              </w:rPr>
            </w:pPr>
            <w:r w:rsidRPr="00FF17EC">
              <w:rPr>
                <w:rFonts w:cs="Arial"/>
                <w:lang w:val="it-IT" w:eastAsia="it-IT"/>
              </w:rPr>
              <w:t>1%</w:t>
            </w:r>
          </w:p>
        </w:tc>
      </w:tr>
      <w:tr w:rsidR="000D2782" w:rsidRPr="00FF17EC" w:rsidTr="000D2782">
        <w:trPr>
          <w:trHeight w:val="300"/>
          <w:jc w:val="center"/>
        </w:trPr>
        <w:tc>
          <w:tcPr>
            <w:tcW w:w="2410" w:type="dxa"/>
            <w:tcBorders>
              <w:top w:val="nil"/>
              <w:left w:val="nil"/>
              <w:bottom w:val="nil"/>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Braničevski</w:t>
            </w:r>
          </w:p>
        </w:tc>
        <w:tc>
          <w:tcPr>
            <w:tcW w:w="123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98%</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2%</w:t>
            </w:r>
          </w:p>
        </w:tc>
        <w:tc>
          <w:tcPr>
            <w:tcW w:w="1196" w:type="dxa"/>
            <w:tcBorders>
              <w:top w:val="nil"/>
              <w:left w:val="nil"/>
              <w:bottom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0%</w:t>
            </w:r>
          </w:p>
        </w:tc>
      </w:tr>
      <w:tr w:rsidR="000D2782" w:rsidRPr="00FF17EC" w:rsidTr="000D2782">
        <w:trPr>
          <w:trHeight w:val="300"/>
          <w:jc w:val="center"/>
        </w:trPr>
        <w:tc>
          <w:tcPr>
            <w:tcW w:w="2410" w:type="dxa"/>
            <w:tcBorders>
              <w:top w:val="nil"/>
              <w:left w:val="nil"/>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Borski</w:t>
            </w:r>
          </w:p>
        </w:tc>
        <w:tc>
          <w:tcPr>
            <w:tcW w:w="1236" w:type="dxa"/>
            <w:tcBorders>
              <w:top w:val="nil"/>
              <w:left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97%</w:t>
            </w:r>
          </w:p>
        </w:tc>
        <w:tc>
          <w:tcPr>
            <w:tcW w:w="1196" w:type="dxa"/>
            <w:tcBorders>
              <w:top w:val="nil"/>
              <w:left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2%</w:t>
            </w:r>
          </w:p>
        </w:tc>
        <w:tc>
          <w:tcPr>
            <w:tcW w:w="1196" w:type="dxa"/>
            <w:tcBorders>
              <w:top w:val="nil"/>
              <w:left w:val="nil"/>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1%</w:t>
            </w:r>
          </w:p>
        </w:tc>
      </w:tr>
      <w:tr w:rsidR="000D2782" w:rsidRPr="00FF17EC" w:rsidTr="000D2782">
        <w:trPr>
          <w:trHeight w:val="300"/>
          <w:jc w:val="center"/>
        </w:trPr>
        <w:tc>
          <w:tcPr>
            <w:tcW w:w="2410" w:type="dxa"/>
            <w:tcBorders>
              <w:top w:val="nil"/>
              <w:left w:val="nil"/>
              <w:bottom w:val="single" w:sz="4" w:space="0" w:color="auto"/>
              <w:right w:val="nil"/>
            </w:tcBorders>
            <w:shd w:val="clear" w:color="000000" w:fill="FFFFFF"/>
            <w:noWrap/>
            <w:hideMark/>
          </w:tcPr>
          <w:p w:rsidR="000D2782" w:rsidRPr="00FF17EC" w:rsidRDefault="000D2782" w:rsidP="000D2782">
            <w:pPr>
              <w:keepNext/>
              <w:spacing w:after="0" w:line="240" w:lineRule="auto"/>
              <w:jc w:val="center"/>
              <w:rPr>
                <w:lang w:val="it-IT" w:eastAsia="it-IT"/>
              </w:rPr>
            </w:pPr>
            <w:r w:rsidRPr="00FF17EC">
              <w:rPr>
                <w:lang w:val="it-IT" w:eastAsia="it-IT"/>
              </w:rPr>
              <w:t>SERBIA EA</w:t>
            </w:r>
          </w:p>
        </w:tc>
        <w:tc>
          <w:tcPr>
            <w:tcW w:w="1236" w:type="dxa"/>
            <w:tcBorders>
              <w:top w:val="nil"/>
              <w:left w:val="nil"/>
              <w:bottom w:val="single" w:sz="4" w:space="0" w:color="auto"/>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97%</w:t>
            </w:r>
          </w:p>
        </w:tc>
        <w:tc>
          <w:tcPr>
            <w:tcW w:w="1196" w:type="dxa"/>
            <w:tcBorders>
              <w:top w:val="nil"/>
              <w:left w:val="nil"/>
              <w:bottom w:val="single" w:sz="4" w:space="0" w:color="auto"/>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3%</w:t>
            </w:r>
          </w:p>
        </w:tc>
        <w:tc>
          <w:tcPr>
            <w:tcW w:w="1196" w:type="dxa"/>
            <w:tcBorders>
              <w:top w:val="nil"/>
              <w:left w:val="nil"/>
              <w:bottom w:val="single" w:sz="4" w:space="0" w:color="auto"/>
              <w:right w:val="nil"/>
            </w:tcBorders>
            <w:shd w:val="clear" w:color="000000" w:fill="FFFFFF"/>
            <w:noWrap/>
            <w:vAlign w:val="center"/>
            <w:hideMark/>
          </w:tcPr>
          <w:p w:rsidR="000D2782" w:rsidRPr="00FF17EC" w:rsidRDefault="000D2782" w:rsidP="000D2782">
            <w:pPr>
              <w:keepNext/>
              <w:spacing w:after="0" w:line="240" w:lineRule="auto"/>
              <w:jc w:val="center"/>
              <w:rPr>
                <w:rFonts w:cs="Arial"/>
                <w:lang w:val="it-IT" w:eastAsia="it-IT"/>
              </w:rPr>
            </w:pPr>
            <w:r w:rsidRPr="00FF17EC">
              <w:rPr>
                <w:rFonts w:cs="Arial"/>
                <w:lang w:val="it-IT" w:eastAsia="it-IT"/>
              </w:rPr>
              <w:t>1%</w:t>
            </w:r>
          </w:p>
        </w:tc>
      </w:tr>
      <w:tr w:rsidR="000D2782" w:rsidRPr="00FF17EC" w:rsidTr="000D2782">
        <w:trPr>
          <w:trHeight w:val="300"/>
          <w:jc w:val="center"/>
        </w:trPr>
        <w:tc>
          <w:tcPr>
            <w:tcW w:w="2410" w:type="dxa"/>
            <w:tcBorders>
              <w:top w:val="single" w:sz="4" w:space="0" w:color="auto"/>
              <w:left w:val="nil"/>
              <w:bottom w:val="single" w:sz="4" w:space="0" w:color="auto"/>
              <w:right w:val="nil"/>
            </w:tcBorders>
            <w:shd w:val="clear" w:color="000000" w:fill="FFFFFF"/>
            <w:noWrap/>
            <w:hideMark/>
          </w:tcPr>
          <w:p w:rsidR="000D2782" w:rsidRPr="00FF17EC" w:rsidRDefault="000D2782" w:rsidP="000D2782">
            <w:pPr>
              <w:keepNext/>
              <w:spacing w:after="0" w:line="240" w:lineRule="auto"/>
              <w:jc w:val="center"/>
              <w:rPr>
                <w:b/>
                <w:lang w:val="it-IT" w:eastAsia="it-IT"/>
              </w:rPr>
            </w:pPr>
            <w:r w:rsidRPr="00FF17EC">
              <w:rPr>
                <w:b/>
                <w:lang w:val="it-IT" w:eastAsia="it-IT"/>
              </w:rPr>
              <w:t>SERBIA</w:t>
            </w:r>
          </w:p>
        </w:tc>
        <w:tc>
          <w:tcPr>
            <w:tcW w:w="1236" w:type="dxa"/>
            <w:tcBorders>
              <w:top w:val="single" w:sz="4" w:space="0" w:color="auto"/>
              <w:left w:val="nil"/>
              <w:bottom w:val="single" w:sz="4" w:space="0" w:color="auto"/>
              <w:right w:val="nil"/>
            </w:tcBorders>
            <w:shd w:val="clear" w:color="000000" w:fill="FFFFFF"/>
            <w:noWrap/>
            <w:vAlign w:val="center"/>
            <w:hideMark/>
          </w:tcPr>
          <w:p w:rsidR="000D2782" w:rsidRPr="00FF17EC" w:rsidRDefault="000D2782" w:rsidP="000D2782">
            <w:pPr>
              <w:keepNext/>
              <w:spacing w:after="0" w:line="240" w:lineRule="auto"/>
              <w:jc w:val="center"/>
              <w:rPr>
                <w:rFonts w:cs="Arial"/>
                <w:b/>
                <w:lang w:val="it-IT" w:eastAsia="it-IT"/>
              </w:rPr>
            </w:pPr>
            <w:r w:rsidRPr="00FF17EC">
              <w:rPr>
                <w:rFonts w:cs="Arial"/>
                <w:b/>
                <w:lang w:val="it-IT" w:eastAsia="it-IT"/>
              </w:rPr>
              <w:t>96%</w:t>
            </w:r>
          </w:p>
        </w:tc>
        <w:tc>
          <w:tcPr>
            <w:tcW w:w="1196" w:type="dxa"/>
            <w:tcBorders>
              <w:top w:val="single" w:sz="4" w:space="0" w:color="auto"/>
              <w:left w:val="nil"/>
              <w:bottom w:val="single" w:sz="4" w:space="0" w:color="auto"/>
              <w:right w:val="nil"/>
            </w:tcBorders>
            <w:shd w:val="clear" w:color="000000" w:fill="FFFFFF"/>
            <w:noWrap/>
            <w:vAlign w:val="center"/>
            <w:hideMark/>
          </w:tcPr>
          <w:p w:rsidR="000D2782" w:rsidRPr="00FF17EC" w:rsidRDefault="000D2782" w:rsidP="000D2782">
            <w:pPr>
              <w:keepNext/>
              <w:spacing w:after="0" w:line="240" w:lineRule="auto"/>
              <w:jc w:val="center"/>
              <w:rPr>
                <w:rFonts w:cs="Arial"/>
                <w:b/>
                <w:lang w:val="it-IT" w:eastAsia="it-IT"/>
              </w:rPr>
            </w:pPr>
            <w:r w:rsidRPr="00FF17EC">
              <w:rPr>
                <w:rFonts w:cs="Arial"/>
                <w:b/>
                <w:lang w:val="it-IT" w:eastAsia="it-IT"/>
              </w:rPr>
              <w:t>3%</w:t>
            </w:r>
          </w:p>
        </w:tc>
        <w:tc>
          <w:tcPr>
            <w:tcW w:w="1196" w:type="dxa"/>
            <w:tcBorders>
              <w:top w:val="single" w:sz="4" w:space="0" w:color="auto"/>
              <w:left w:val="nil"/>
              <w:bottom w:val="single" w:sz="4" w:space="0" w:color="auto"/>
              <w:right w:val="nil"/>
            </w:tcBorders>
            <w:shd w:val="clear" w:color="000000" w:fill="FFFFFF"/>
            <w:noWrap/>
            <w:vAlign w:val="center"/>
            <w:hideMark/>
          </w:tcPr>
          <w:p w:rsidR="000D2782" w:rsidRPr="00FF17EC" w:rsidRDefault="000D2782" w:rsidP="000D2782">
            <w:pPr>
              <w:keepNext/>
              <w:spacing w:after="0" w:line="240" w:lineRule="auto"/>
              <w:jc w:val="center"/>
              <w:rPr>
                <w:rFonts w:cs="Arial"/>
                <w:b/>
                <w:lang w:val="it-IT" w:eastAsia="it-IT"/>
              </w:rPr>
            </w:pPr>
            <w:r w:rsidRPr="00FF17EC">
              <w:rPr>
                <w:rFonts w:cs="Arial"/>
                <w:b/>
                <w:lang w:val="it-IT" w:eastAsia="it-IT"/>
              </w:rPr>
              <w:t>1%</w:t>
            </w:r>
          </w:p>
        </w:tc>
      </w:tr>
    </w:tbl>
    <w:p w:rsidR="000D2782" w:rsidRPr="00FF17EC" w:rsidRDefault="000D2782" w:rsidP="00A4113E">
      <w:pPr>
        <w:pStyle w:val="Caption"/>
        <w:spacing w:before="120"/>
        <w:jc w:val="center"/>
        <w:rPr>
          <w:sz w:val="22"/>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4</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4</w:t>
      </w:r>
      <w:r w:rsidR="00085686" w:rsidRPr="00FF17EC">
        <w:rPr>
          <w:sz w:val="22"/>
        </w:rPr>
        <w:fldChar w:fldCharType="end"/>
      </w:r>
      <w:r w:rsidRPr="00FF17EC">
        <w:rPr>
          <w:sz w:val="22"/>
        </w:rPr>
        <w:t xml:space="preserve"> SMEs per size</w:t>
      </w:r>
    </w:p>
    <w:p w:rsidR="000D2782" w:rsidRPr="00FF17EC" w:rsidRDefault="000D2782" w:rsidP="000D2782">
      <w:r w:rsidRPr="00FF17EC">
        <w:t xml:space="preserve">In Romania in all counties the medium enterprises represent roughly 2% of the total, in line with the National average. </w:t>
      </w:r>
      <w:r w:rsidR="002157B5" w:rsidRPr="00FF17EC">
        <w:t>For the economic potential, e</w:t>
      </w:r>
      <w:r w:rsidRPr="00FF17EC">
        <w:t>ven more important, is the large number of small enterprises, in all counties at the level of the national average.</w:t>
      </w:r>
    </w:p>
    <w:p w:rsidR="000D2782" w:rsidRPr="00FF17EC" w:rsidRDefault="000D2782" w:rsidP="000D2782">
      <w:r w:rsidRPr="00FF17EC">
        <w:t>The class of micro enterprises,</w:t>
      </w:r>
      <w:r w:rsidR="004B0E46" w:rsidRPr="00FF17EC">
        <w:t xml:space="preserve"> </w:t>
      </w:r>
      <w:r w:rsidRPr="00FF17EC">
        <w:t>includes companies with very limited managerial structures, limited or no capacity to operate actively on the final markets, usually</w:t>
      </w:r>
      <w:r w:rsidR="00634723" w:rsidRPr="00FF17EC">
        <w:t xml:space="preserve"> </w:t>
      </w:r>
      <w:r w:rsidRPr="00FF17EC">
        <w:t>no capacity of endogenous generation of innovation, a part special cases of start ups in innovative sectors.</w:t>
      </w:r>
    </w:p>
    <w:p w:rsidR="000D2782" w:rsidRPr="00FF17EC" w:rsidRDefault="000D2782" w:rsidP="000D2782">
      <w:r w:rsidRPr="00FF17EC">
        <w:t>The unequal structure of SMEs in the eligible area</w:t>
      </w:r>
      <w:r w:rsidR="004B0E46" w:rsidRPr="00FF17EC">
        <w:t xml:space="preserve"> </w:t>
      </w:r>
      <w:r w:rsidRPr="00FF17EC">
        <w:t>on the two sides of the borders, associated to the recent common growth of the SMEs sectors,</w:t>
      </w:r>
      <w:r w:rsidR="004B0E46" w:rsidRPr="00FF17EC">
        <w:t xml:space="preserve"> </w:t>
      </w:r>
      <w:r w:rsidRPr="00FF17EC">
        <w:t>signals a</w:t>
      </w:r>
      <w:r w:rsidR="004B0E46" w:rsidRPr="00FF17EC">
        <w:t xml:space="preserve"> </w:t>
      </w:r>
      <w:r w:rsidRPr="00FF17EC">
        <w:t>potential for CBC, with the creation of partnerships for</w:t>
      </w:r>
      <w:r w:rsidR="004B0E46" w:rsidRPr="00FF17EC">
        <w:t xml:space="preserve"> </w:t>
      </w:r>
      <w:r w:rsidRPr="00FF17EC">
        <w:t>business development, research,</w:t>
      </w:r>
      <w:r w:rsidR="004B0E46" w:rsidRPr="00FF17EC">
        <w:t xml:space="preserve"> </w:t>
      </w:r>
      <w:r w:rsidRPr="00FF17EC">
        <w:t>action on the international markets, to help the SMEs on both sides of the border to consolidate the recent growth and create the capacities for a long term sustainable development.</w:t>
      </w:r>
    </w:p>
    <w:p w:rsidR="007D1DDB" w:rsidRPr="00FF17EC" w:rsidRDefault="007D1DDB" w:rsidP="000D2782"/>
    <w:p w:rsidR="000D2782" w:rsidRPr="00FF17EC" w:rsidRDefault="000D2782" w:rsidP="000D2782">
      <w:pPr>
        <w:pStyle w:val="Heading2"/>
      </w:pPr>
      <w:bookmarkStart w:id="61" w:name="_Toc383163929"/>
      <w:bookmarkStart w:id="62" w:name="_Toc383415708"/>
      <w:r w:rsidRPr="00FF17EC">
        <w:t>Foreign Direct Investments</w:t>
      </w:r>
      <w:bookmarkEnd w:id="61"/>
      <w:bookmarkEnd w:id="62"/>
      <w:r w:rsidRPr="00FF17EC">
        <w:t xml:space="preserve"> </w:t>
      </w:r>
    </w:p>
    <w:p w:rsidR="000D2782" w:rsidRPr="00FF17EC" w:rsidRDefault="000D2782" w:rsidP="000D2782">
      <w:pPr>
        <w:rPr>
          <w:lang w:eastAsia="it-IT"/>
        </w:rPr>
      </w:pPr>
      <w:r w:rsidRPr="00FF17EC">
        <w:rPr>
          <w:lang w:eastAsia="it-IT"/>
        </w:rPr>
        <w:t>The eligible area has been the object of an intensive flow of Foreign Direct Investments, with a performance comparable to the average of the two countries. As described by the statistical information in the table below, the annual flow of FDI continued after 2008, with some differences between the two countries.</w:t>
      </w:r>
    </w:p>
    <w:p w:rsidR="000D2782" w:rsidRPr="00FF17EC" w:rsidRDefault="000D2782" w:rsidP="000D2782">
      <w:pPr>
        <w:rPr>
          <w:lang w:eastAsia="it-IT"/>
        </w:rPr>
      </w:pPr>
    </w:p>
    <w:tbl>
      <w:tblPr>
        <w:tblW w:w="5000" w:type="pct"/>
        <w:jc w:val="center"/>
        <w:tblCellMar>
          <w:left w:w="70" w:type="dxa"/>
          <w:right w:w="70" w:type="dxa"/>
        </w:tblCellMar>
        <w:tblLook w:val="04A0" w:firstRow="1" w:lastRow="0" w:firstColumn="1" w:lastColumn="0" w:noHBand="0" w:noVBand="1"/>
      </w:tblPr>
      <w:tblGrid>
        <w:gridCol w:w="2486"/>
        <w:gridCol w:w="1281"/>
        <w:gridCol w:w="1281"/>
        <w:gridCol w:w="1452"/>
        <w:gridCol w:w="1452"/>
        <w:gridCol w:w="1452"/>
      </w:tblGrid>
      <w:tr w:rsidR="000D2782" w:rsidRPr="00FF17EC" w:rsidTr="000D2782">
        <w:trPr>
          <w:trHeight w:val="300"/>
          <w:jc w:val="center"/>
        </w:trPr>
        <w:tc>
          <w:tcPr>
            <w:tcW w:w="1322" w:type="pct"/>
            <w:tcBorders>
              <w:top w:val="single" w:sz="4" w:space="0" w:color="auto"/>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eastAsia="it-IT"/>
              </w:rPr>
            </w:pPr>
          </w:p>
        </w:tc>
        <w:tc>
          <w:tcPr>
            <w:tcW w:w="681" w:type="pct"/>
            <w:tcBorders>
              <w:top w:val="single" w:sz="4" w:space="0" w:color="auto"/>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2008</w:t>
            </w:r>
          </w:p>
        </w:tc>
        <w:tc>
          <w:tcPr>
            <w:tcW w:w="681" w:type="pct"/>
            <w:tcBorders>
              <w:top w:val="single" w:sz="4" w:space="0" w:color="auto"/>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2009</w:t>
            </w:r>
          </w:p>
        </w:tc>
        <w:tc>
          <w:tcPr>
            <w:tcW w:w="772" w:type="pct"/>
            <w:tcBorders>
              <w:top w:val="single" w:sz="4" w:space="0" w:color="auto"/>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2010</w:t>
            </w:r>
          </w:p>
        </w:tc>
        <w:tc>
          <w:tcPr>
            <w:tcW w:w="772" w:type="pct"/>
            <w:tcBorders>
              <w:top w:val="single" w:sz="4" w:space="0" w:color="auto"/>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2011</w:t>
            </w:r>
          </w:p>
        </w:tc>
        <w:tc>
          <w:tcPr>
            <w:tcW w:w="771" w:type="pct"/>
            <w:tcBorders>
              <w:top w:val="single" w:sz="4" w:space="0" w:color="auto"/>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2012</w:t>
            </w:r>
          </w:p>
        </w:tc>
      </w:tr>
      <w:tr w:rsidR="000D2782" w:rsidRPr="00FF17EC" w:rsidTr="000D2782">
        <w:trPr>
          <w:trHeight w:val="300"/>
          <w:jc w:val="center"/>
        </w:trPr>
        <w:tc>
          <w:tcPr>
            <w:tcW w:w="132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Romania*</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48798</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49984</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52585</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55139</w:t>
            </w:r>
          </w:p>
        </w:tc>
        <w:tc>
          <w:tcPr>
            <w:tcW w:w="77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59126</w:t>
            </w:r>
          </w:p>
        </w:tc>
      </w:tr>
      <w:tr w:rsidR="000D2782" w:rsidRPr="00FF17EC" w:rsidTr="000D2782">
        <w:trPr>
          <w:trHeight w:val="300"/>
          <w:jc w:val="center"/>
        </w:trPr>
        <w:tc>
          <w:tcPr>
            <w:tcW w:w="132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West</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2,626</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3095</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3446</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3987</w:t>
            </w:r>
          </w:p>
        </w:tc>
        <w:tc>
          <w:tcPr>
            <w:tcW w:w="77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4510</w:t>
            </w:r>
          </w:p>
        </w:tc>
      </w:tr>
      <w:tr w:rsidR="000D2782" w:rsidRPr="00FF17EC" w:rsidTr="000D2782">
        <w:trPr>
          <w:trHeight w:val="300"/>
          <w:jc w:val="center"/>
        </w:trPr>
        <w:tc>
          <w:tcPr>
            <w:tcW w:w="132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West</w:t>
            </w:r>
            <w:r w:rsidR="004B0E46" w:rsidRPr="00FF17EC">
              <w:rPr>
                <w:lang w:val="it-IT" w:eastAsia="it-IT"/>
              </w:rPr>
              <w:t xml:space="preserve"> </w:t>
            </w:r>
            <w:r w:rsidRPr="00FF17EC">
              <w:rPr>
                <w:lang w:val="it-IT" w:eastAsia="it-IT"/>
              </w:rPr>
              <w:t>/Total</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5%</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6%</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7%</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7%</w:t>
            </w:r>
          </w:p>
        </w:tc>
        <w:tc>
          <w:tcPr>
            <w:tcW w:w="77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8%</w:t>
            </w:r>
          </w:p>
        </w:tc>
      </w:tr>
      <w:tr w:rsidR="000D2782" w:rsidRPr="00FF17EC" w:rsidTr="000D2782">
        <w:trPr>
          <w:trHeight w:val="300"/>
          <w:jc w:val="center"/>
        </w:trPr>
        <w:tc>
          <w:tcPr>
            <w:tcW w:w="132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South West</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1226</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1940</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1928</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1806</w:t>
            </w:r>
          </w:p>
        </w:tc>
        <w:tc>
          <w:tcPr>
            <w:tcW w:w="77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2068</w:t>
            </w:r>
          </w:p>
        </w:tc>
      </w:tr>
      <w:tr w:rsidR="000D2782" w:rsidRPr="00FF17EC" w:rsidTr="000D2782">
        <w:trPr>
          <w:trHeight w:val="300"/>
          <w:jc w:val="center"/>
        </w:trPr>
        <w:tc>
          <w:tcPr>
            <w:tcW w:w="132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SW / Total</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3%</w:t>
            </w:r>
          </w:p>
        </w:tc>
        <w:tc>
          <w:tcPr>
            <w:tcW w:w="68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4%</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4%</w:t>
            </w:r>
          </w:p>
        </w:tc>
        <w:tc>
          <w:tcPr>
            <w:tcW w:w="772"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3%</w:t>
            </w:r>
          </w:p>
        </w:tc>
        <w:tc>
          <w:tcPr>
            <w:tcW w:w="771" w:type="pct"/>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r w:rsidRPr="00FF17EC">
              <w:rPr>
                <w:lang w:val="it-IT" w:eastAsia="it-IT"/>
              </w:rPr>
              <w:t>3%</w:t>
            </w:r>
          </w:p>
        </w:tc>
      </w:tr>
      <w:tr w:rsidR="000D2782" w:rsidRPr="00FF17EC" w:rsidTr="000D2782">
        <w:trPr>
          <w:trHeight w:val="300"/>
          <w:jc w:val="center"/>
        </w:trPr>
        <w:tc>
          <w:tcPr>
            <w:tcW w:w="1322"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p>
        </w:tc>
        <w:tc>
          <w:tcPr>
            <w:tcW w:w="681"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p>
        </w:tc>
        <w:tc>
          <w:tcPr>
            <w:tcW w:w="681"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p>
        </w:tc>
        <w:tc>
          <w:tcPr>
            <w:tcW w:w="772"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p>
        </w:tc>
        <w:tc>
          <w:tcPr>
            <w:tcW w:w="772"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p>
        </w:tc>
        <w:tc>
          <w:tcPr>
            <w:tcW w:w="771"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lang w:val="it-IT" w:eastAsia="it-IT"/>
              </w:rPr>
            </w:pPr>
          </w:p>
        </w:tc>
      </w:tr>
      <w:tr w:rsidR="000D2782" w:rsidRPr="00FF17EC" w:rsidTr="000D2782">
        <w:trPr>
          <w:trHeight w:val="300"/>
          <w:jc w:val="center"/>
        </w:trPr>
        <w:tc>
          <w:tcPr>
            <w:tcW w:w="2003" w:type="pct"/>
            <w:gridSpan w:val="2"/>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Serbia **</w:t>
            </w:r>
          </w:p>
        </w:tc>
        <w:tc>
          <w:tcPr>
            <w:tcW w:w="681"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1810</w:t>
            </w:r>
          </w:p>
        </w:tc>
        <w:tc>
          <w:tcPr>
            <w:tcW w:w="772"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1139</w:t>
            </w:r>
          </w:p>
        </w:tc>
        <w:tc>
          <w:tcPr>
            <w:tcW w:w="772"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2236</w:t>
            </w:r>
          </w:p>
        </w:tc>
        <w:tc>
          <w:tcPr>
            <w:tcW w:w="771" w:type="pct"/>
            <w:tcBorders>
              <w:top w:val="nil"/>
              <w:left w:val="nil"/>
              <w:bottom w:val="single" w:sz="4" w:space="0" w:color="auto"/>
              <w:right w:val="nil"/>
            </w:tcBorders>
            <w:shd w:val="clear" w:color="auto" w:fill="auto"/>
            <w:noWrap/>
            <w:vAlign w:val="center"/>
            <w:hideMark/>
          </w:tcPr>
          <w:p w:rsidR="000D2782" w:rsidRPr="00FF17EC" w:rsidRDefault="000D2782" w:rsidP="000D2782">
            <w:pPr>
              <w:keepNext/>
              <w:spacing w:after="0" w:line="240" w:lineRule="auto"/>
              <w:contextualSpacing/>
              <w:rPr>
                <w:b/>
                <w:lang w:val="it-IT" w:eastAsia="it-IT"/>
              </w:rPr>
            </w:pPr>
            <w:r w:rsidRPr="00FF17EC">
              <w:rPr>
                <w:b/>
                <w:lang w:val="it-IT" w:eastAsia="it-IT"/>
              </w:rPr>
              <w:t>1967</w:t>
            </w:r>
          </w:p>
        </w:tc>
      </w:tr>
      <w:tr w:rsidR="000D2782" w:rsidRPr="00FF17EC" w:rsidTr="000D2782">
        <w:trPr>
          <w:trHeight w:val="300"/>
          <w:jc w:val="center"/>
        </w:trPr>
        <w:tc>
          <w:tcPr>
            <w:tcW w:w="5000" w:type="pct"/>
            <w:gridSpan w:val="6"/>
            <w:tcBorders>
              <w:top w:val="nil"/>
              <w:left w:val="nil"/>
              <w:bottom w:val="nil"/>
              <w:right w:val="nil"/>
            </w:tcBorders>
            <w:shd w:val="clear" w:color="auto" w:fill="auto"/>
            <w:noWrap/>
            <w:vAlign w:val="center"/>
            <w:hideMark/>
          </w:tcPr>
          <w:p w:rsidR="000D2782" w:rsidRPr="00FF17EC" w:rsidRDefault="000D2782" w:rsidP="000D2782">
            <w:pPr>
              <w:keepNext/>
              <w:spacing w:after="0" w:line="240" w:lineRule="auto"/>
              <w:contextualSpacing/>
              <w:rPr>
                <w:lang w:eastAsia="it-IT"/>
              </w:rPr>
            </w:pPr>
            <w:r w:rsidRPr="00FF17EC">
              <w:rPr>
                <w:lang w:eastAsia="it-IT"/>
              </w:rPr>
              <w:t>*Romania National Bank ** Serbia National Bank</w:t>
            </w:r>
          </w:p>
        </w:tc>
      </w:tr>
    </w:tbl>
    <w:p w:rsidR="000D2782" w:rsidRPr="00FF17EC" w:rsidRDefault="000D2782" w:rsidP="00A4113E">
      <w:pPr>
        <w:pStyle w:val="Caption"/>
        <w:spacing w:before="120"/>
        <w:rPr>
          <w:rFonts w:cs="Times New Roman"/>
          <w:color w:val="000000"/>
          <w:sz w:val="22"/>
          <w:lang w:eastAsia="it-IT"/>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4</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5</w:t>
      </w:r>
      <w:r w:rsidR="00085686" w:rsidRPr="00FF17EC">
        <w:rPr>
          <w:sz w:val="22"/>
        </w:rPr>
        <w:fldChar w:fldCharType="end"/>
      </w:r>
      <w:r w:rsidRPr="00FF17EC">
        <w:rPr>
          <w:sz w:val="22"/>
        </w:rPr>
        <w:t xml:space="preserve"> </w:t>
      </w:r>
      <w:r w:rsidRPr="00FF17EC">
        <w:rPr>
          <w:rFonts w:cs="Times New Roman"/>
          <w:color w:val="000000"/>
          <w:sz w:val="22"/>
          <w:lang w:eastAsia="it-IT"/>
        </w:rPr>
        <w:t>Foreign Direct investments Euro Million</w:t>
      </w:r>
    </w:p>
    <w:p w:rsidR="000D2782" w:rsidRPr="00FF17EC" w:rsidRDefault="000D2782" w:rsidP="000D2782">
      <w:pPr>
        <w:rPr>
          <w:lang w:eastAsia="it-IT"/>
        </w:rPr>
      </w:pPr>
    </w:p>
    <w:p w:rsidR="000D2782" w:rsidRPr="00FF17EC" w:rsidRDefault="000D2782" w:rsidP="000D2782">
      <w:pPr>
        <w:rPr>
          <w:lang w:eastAsia="it-IT"/>
        </w:rPr>
      </w:pPr>
      <w:r w:rsidRPr="00FF17EC">
        <w:rPr>
          <w:lang w:eastAsia="it-IT"/>
        </w:rPr>
        <w:t>The flow of investments continued to grow after the global crisis in 2008, more regularly in Romania, with some variations in Serbia, a significant decline in 2009, and then a growth in the next years.</w:t>
      </w:r>
    </w:p>
    <w:p w:rsidR="000D2782" w:rsidRPr="00FF17EC" w:rsidRDefault="000D2782" w:rsidP="000D2782">
      <w:pPr>
        <w:rPr>
          <w:lang w:eastAsia="it-IT"/>
        </w:rPr>
      </w:pPr>
      <w:r w:rsidRPr="00FF17EC">
        <w:rPr>
          <w:lang w:eastAsia="it-IT"/>
        </w:rPr>
        <w:t>In the North, the Timiș County presents a value of FDI higher than that in the West Region, while the Mehedinți County has not attracted any significant FDI in recent years</w:t>
      </w:r>
      <w:r w:rsidRPr="00FF17EC">
        <w:rPr>
          <w:sz w:val="24"/>
          <w:vertAlign w:val="superscript"/>
        </w:rPr>
        <w:footnoteReference w:id="20"/>
      </w:r>
      <w:r w:rsidRPr="00FF17EC">
        <w:rPr>
          <w:lang w:eastAsia="it-IT"/>
        </w:rPr>
        <w:t>.</w:t>
      </w:r>
    </w:p>
    <w:p w:rsidR="000D2782" w:rsidRPr="00FF17EC" w:rsidRDefault="000D2782" w:rsidP="000D2782">
      <w:pPr>
        <w:rPr>
          <w:lang w:eastAsia="it-IT"/>
        </w:rPr>
      </w:pPr>
      <w:r w:rsidRPr="00FF17EC">
        <w:rPr>
          <w:lang w:eastAsia="it-IT"/>
        </w:rPr>
        <w:t xml:space="preserve">In Serbia, the strongest </w:t>
      </w:r>
      <w:r w:rsidR="002157B5" w:rsidRPr="00FF17EC">
        <w:rPr>
          <w:lang w:eastAsia="it-IT"/>
        </w:rPr>
        <w:t>attractivity</w:t>
      </w:r>
      <w:r w:rsidR="004B0E46" w:rsidRPr="00FF17EC">
        <w:rPr>
          <w:lang w:eastAsia="it-IT"/>
        </w:rPr>
        <w:t xml:space="preserve"> </w:t>
      </w:r>
      <w:r w:rsidRPr="00FF17EC">
        <w:rPr>
          <w:lang w:eastAsia="it-IT"/>
        </w:rPr>
        <w:t>to FDI can be observed in Severni Banat and Srednji</w:t>
      </w:r>
      <w:r w:rsidR="004B0E46" w:rsidRPr="00FF17EC">
        <w:rPr>
          <w:lang w:eastAsia="it-IT"/>
        </w:rPr>
        <w:t xml:space="preserve"> </w:t>
      </w:r>
      <w:r w:rsidRPr="00FF17EC">
        <w:rPr>
          <w:lang w:eastAsia="it-IT"/>
        </w:rPr>
        <w:t>Banat inside the eligible area,</w:t>
      </w:r>
      <w:r w:rsidR="004B0E46" w:rsidRPr="00FF17EC">
        <w:rPr>
          <w:lang w:eastAsia="it-IT"/>
        </w:rPr>
        <w:t xml:space="preserve"> </w:t>
      </w:r>
      <w:r w:rsidRPr="00FF17EC">
        <w:rPr>
          <w:lang w:eastAsia="it-IT"/>
        </w:rPr>
        <w:t>also in Južni Banat in Vršac</w:t>
      </w:r>
      <w:r w:rsidRPr="00FF17EC">
        <w:rPr>
          <w:rStyle w:val="FootnoteReference"/>
          <w:lang w:eastAsia="it-IT"/>
        </w:rPr>
        <w:footnoteReference w:id="21"/>
      </w:r>
      <w:r w:rsidRPr="00FF17EC">
        <w:rPr>
          <w:lang w:eastAsia="it-IT"/>
        </w:rPr>
        <w:t xml:space="preserve">. FDI are particularly attracted by the free zones network, that ensure fiscal incentives, large availability of business services and </w:t>
      </w:r>
      <w:r w:rsidRPr="00FF17EC">
        <w:rPr>
          <w:lang w:eastAsia="it-IT"/>
        </w:rPr>
        <w:lastRenderedPageBreak/>
        <w:t>infrastructures, free custom</w:t>
      </w:r>
      <w:r w:rsidR="004B0E46" w:rsidRPr="00FF17EC">
        <w:rPr>
          <w:lang w:eastAsia="it-IT"/>
        </w:rPr>
        <w:t xml:space="preserve"> </w:t>
      </w:r>
      <w:r w:rsidRPr="00FF17EC">
        <w:rPr>
          <w:lang w:eastAsia="it-IT"/>
        </w:rPr>
        <w:t>incentives</w:t>
      </w:r>
      <w:r w:rsidRPr="00FF17EC">
        <w:rPr>
          <w:rStyle w:val="FootnoteReference"/>
          <w:lang w:eastAsia="it-IT"/>
        </w:rPr>
        <w:footnoteReference w:id="22"/>
      </w:r>
      <w:r w:rsidRPr="00FF17EC">
        <w:rPr>
          <w:lang w:eastAsia="it-IT"/>
        </w:rPr>
        <w:t>.</w:t>
      </w:r>
      <w:r w:rsidR="004B0E46" w:rsidRPr="00FF17EC">
        <w:rPr>
          <w:lang w:eastAsia="it-IT"/>
        </w:rPr>
        <w:t xml:space="preserve"> </w:t>
      </w:r>
      <w:r w:rsidRPr="00FF17EC">
        <w:rPr>
          <w:lang w:eastAsia="it-IT"/>
        </w:rPr>
        <w:t>In the eligible area is located one of the most developed</w:t>
      </w:r>
      <w:r w:rsidR="004B0E46" w:rsidRPr="00FF17EC">
        <w:rPr>
          <w:lang w:eastAsia="it-IT"/>
        </w:rPr>
        <w:t xml:space="preserve"> </w:t>
      </w:r>
      <w:r w:rsidRPr="00FF17EC">
        <w:rPr>
          <w:lang w:eastAsia="it-IT"/>
        </w:rPr>
        <w:t>free zones, in</w:t>
      </w:r>
      <w:r w:rsidR="004B0E46" w:rsidRPr="00FF17EC">
        <w:rPr>
          <w:lang w:eastAsia="it-IT"/>
        </w:rPr>
        <w:t xml:space="preserve"> </w:t>
      </w:r>
      <w:r w:rsidRPr="00FF17EC">
        <w:rPr>
          <w:lang w:eastAsia="it-IT"/>
        </w:rPr>
        <w:t>Zrenjanin. However, in the other districts it should be considered the economic impact of FDI oriented to Belgrade, and Novi Sad, and other industrial poles at short travelling distance from the eligible area.</w:t>
      </w:r>
    </w:p>
    <w:p w:rsidR="000D2782" w:rsidRPr="00FF17EC" w:rsidRDefault="000D2782" w:rsidP="000D2782">
      <w:r w:rsidRPr="00FF17EC">
        <w:rPr>
          <w:lang w:eastAsia="it-IT"/>
        </w:rPr>
        <w:t>In the Serbian eligible area in recent years, among the main FDI there can be mentioned those in the food and</w:t>
      </w:r>
      <w:r w:rsidR="004B0E46" w:rsidRPr="00FF17EC">
        <w:rPr>
          <w:lang w:eastAsia="it-IT"/>
        </w:rPr>
        <w:t xml:space="preserve"> </w:t>
      </w:r>
      <w:r w:rsidRPr="00FF17EC">
        <w:rPr>
          <w:lang w:eastAsia="it-IT"/>
        </w:rPr>
        <w:t>textile industry that have been made in Zrenjanin, wood in Kovin and those in the Auto</w:t>
      </w:r>
      <w:r w:rsidR="001468AE" w:rsidRPr="00FF17EC">
        <w:rPr>
          <w:lang w:eastAsia="it-IT"/>
        </w:rPr>
        <w:t>motive sector, in Kikinda and Z</w:t>
      </w:r>
      <w:r w:rsidRPr="00FF17EC">
        <w:rPr>
          <w:lang w:eastAsia="it-IT"/>
        </w:rPr>
        <w:t>renjanin</w:t>
      </w:r>
      <w:r w:rsidRPr="00FF17EC">
        <w:rPr>
          <w:vertAlign w:val="superscript"/>
          <w:lang w:val="it-IT" w:eastAsia="it-IT"/>
        </w:rPr>
        <w:footnoteReference w:id="23"/>
      </w:r>
      <w:r w:rsidRPr="00FF17EC">
        <w:rPr>
          <w:lang w:eastAsia="it-IT"/>
        </w:rPr>
        <w:t>.</w:t>
      </w:r>
      <w:r w:rsidRPr="00FF17EC">
        <w:t xml:space="preserve"> </w:t>
      </w:r>
    </w:p>
    <w:p w:rsidR="000D2782" w:rsidRPr="00FF17EC" w:rsidRDefault="000D2782" w:rsidP="000D2782">
      <w:pPr>
        <w:rPr>
          <w:lang w:eastAsia="it-IT"/>
        </w:rPr>
      </w:pPr>
      <w:r w:rsidRPr="00FF17EC">
        <w:t>In Romania,in the eligible area FDI inflows are concentrated in the mechanical, automotive, textile, food industries,</w:t>
      </w:r>
      <w:r w:rsidR="004B0E46" w:rsidRPr="00FF17EC">
        <w:t xml:space="preserve"> </w:t>
      </w:r>
      <w:r w:rsidRPr="00FF17EC">
        <w:t xml:space="preserve">energy. In </w:t>
      </w:r>
      <w:r w:rsidR="007A11B3" w:rsidRPr="00FF17EC">
        <w:t>Timiș</w:t>
      </w:r>
      <w:r w:rsidRPr="00FF17EC">
        <w:t xml:space="preserve"> County there is the higher and most diver</w:t>
      </w:r>
      <w:r w:rsidR="001468AE" w:rsidRPr="00FF17EC">
        <w:t>sified flow of FDI, in Mehedinți</w:t>
      </w:r>
      <w:r w:rsidRPr="00FF17EC">
        <w:t xml:space="preserve"> the lowest.</w:t>
      </w:r>
    </w:p>
    <w:p w:rsidR="000D2782" w:rsidRPr="00FF17EC" w:rsidRDefault="000D2782" w:rsidP="000D2782">
      <w:pPr>
        <w:rPr>
          <w:lang w:eastAsia="it-IT"/>
        </w:rPr>
      </w:pPr>
      <w:r w:rsidRPr="00FF17EC">
        <w:rPr>
          <w:lang w:eastAsia="it-IT"/>
        </w:rPr>
        <w:t>The main FDI flows</w:t>
      </w:r>
      <w:r w:rsidR="004B0E46" w:rsidRPr="00FF17EC">
        <w:rPr>
          <w:lang w:eastAsia="it-IT"/>
        </w:rPr>
        <w:t xml:space="preserve"> </w:t>
      </w:r>
      <w:r w:rsidRPr="00FF17EC">
        <w:rPr>
          <w:lang w:eastAsia="it-IT"/>
        </w:rPr>
        <w:t xml:space="preserve">originate from main advanced European economies: the Nederland, Germany, France Italy, and outside Europe, from USA. </w:t>
      </w:r>
    </w:p>
    <w:p w:rsidR="000D2782" w:rsidRPr="00FF17EC" w:rsidRDefault="000D2782" w:rsidP="000D2782">
      <w:pPr>
        <w:rPr>
          <w:lang w:eastAsia="it-IT"/>
        </w:rPr>
      </w:pPr>
      <w:r w:rsidRPr="00FF17EC">
        <w:rPr>
          <w:lang w:eastAsia="it-IT"/>
        </w:rPr>
        <w:t>Romania - Serbia Cross</w:t>
      </w:r>
      <w:r w:rsidR="004B0E46" w:rsidRPr="00FF17EC">
        <w:rPr>
          <w:lang w:eastAsia="it-IT"/>
        </w:rPr>
        <w:t xml:space="preserve"> </w:t>
      </w:r>
      <w:r w:rsidRPr="00FF17EC">
        <w:rPr>
          <w:lang w:eastAsia="it-IT"/>
        </w:rPr>
        <w:t>border investment flows represent a minimum percentage of the total.</w:t>
      </w:r>
    </w:p>
    <w:p w:rsidR="000D2782" w:rsidRPr="00FF17EC" w:rsidRDefault="000D2782" w:rsidP="000D2782">
      <w:pPr>
        <w:rPr>
          <w:lang w:eastAsia="it-IT"/>
        </w:rPr>
      </w:pPr>
      <w:r w:rsidRPr="00FF17EC">
        <w:rPr>
          <w:lang w:eastAsia="it-IT"/>
        </w:rPr>
        <w:t xml:space="preserve"> However, the common recent experience in the attraction of foreign investments and in the promotion of business activities can generate a potential for cooperation.</w:t>
      </w:r>
    </w:p>
    <w:p w:rsidR="000D2782" w:rsidRPr="00FF17EC" w:rsidRDefault="000D2782" w:rsidP="000D2782">
      <w:pPr>
        <w:rPr>
          <w:lang w:eastAsia="it-IT"/>
        </w:rPr>
      </w:pPr>
    </w:p>
    <w:p w:rsidR="00EF56CA" w:rsidRPr="00FF17EC" w:rsidRDefault="00EF56CA" w:rsidP="00EF56CA">
      <w:pPr>
        <w:rPr>
          <w:lang w:eastAsia="it-IT"/>
        </w:rPr>
      </w:pPr>
    </w:p>
    <w:p w:rsidR="00EF56CA" w:rsidRPr="00FF17EC" w:rsidRDefault="00EF56CA" w:rsidP="00A62261">
      <w:pPr>
        <w:pStyle w:val="Heading1"/>
      </w:pPr>
      <w:bookmarkStart w:id="63" w:name="_Toc378857143"/>
      <w:bookmarkStart w:id="64" w:name="_Toc383354409"/>
      <w:bookmarkStart w:id="65" w:name="_Toc383415709"/>
      <w:r w:rsidRPr="00FF17EC">
        <w:lastRenderedPageBreak/>
        <w:t>The labour market</w:t>
      </w:r>
      <w:bookmarkEnd w:id="63"/>
      <w:bookmarkEnd w:id="64"/>
      <w:bookmarkEnd w:id="65"/>
      <w:r w:rsidRPr="00FF17EC">
        <w:t xml:space="preserve"> </w:t>
      </w:r>
    </w:p>
    <w:tbl>
      <w:tblPr>
        <w:tblStyle w:val="TableGrid"/>
        <w:tblW w:w="0" w:type="auto"/>
        <w:tblLook w:val="04A0" w:firstRow="1" w:lastRow="0" w:firstColumn="1" w:lastColumn="0" w:noHBand="0" w:noVBand="1"/>
      </w:tblPr>
      <w:tblGrid>
        <w:gridCol w:w="9394"/>
      </w:tblGrid>
      <w:tr w:rsidR="00EF56CA" w:rsidRPr="00FF17EC" w:rsidTr="006433A2">
        <w:tc>
          <w:tcPr>
            <w:tcW w:w="9544" w:type="dxa"/>
          </w:tcPr>
          <w:p w:rsidR="00EF56CA" w:rsidRPr="00FF17EC" w:rsidRDefault="00EF56CA" w:rsidP="00013F0C">
            <w:pPr>
              <w:pStyle w:val="ListParagraph"/>
              <w:numPr>
                <w:ilvl w:val="0"/>
                <w:numId w:val="34"/>
              </w:numPr>
              <w:rPr>
                <w:noProof/>
                <w:lang w:eastAsia="it-IT"/>
              </w:rPr>
            </w:pPr>
            <w:r w:rsidRPr="00FF17EC">
              <w:rPr>
                <w:noProof/>
                <w:lang w:eastAsia="it-IT"/>
              </w:rPr>
              <w:t xml:space="preserve">Activity rate per sector Strong dualism between North eligible area (labor concentrated in Manifacturing, lower agricultural activity) and the Centre easth (Labor concentrated in Agriculture) </w:t>
            </w:r>
          </w:p>
          <w:p w:rsidR="00EF56CA" w:rsidRPr="00FF17EC" w:rsidRDefault="00EF56CA" w:rsidP="00013F0C">
            <w:pPr>
              <w:pStyle w:val="ListParagraph"/>
              <w:numPr>
                <w:ilvl w:val="0"/>
                <w:numId w:val="34"/>
              </w:numPr>
              <w:rPr>
                <w:noProof/>
                <w:lang w:eastAsia="it-IT"/>
              </w:rPr>
            </w:pPr>
            <w:r w:rsidRPr="00FF17EC">
              <w:rPr>
                <w:noProof/>
                <w:lang w:eastAsia="it-IT"/>
              </w:rPr>
              <w:t>In the Eligible area Lower employment rate then in the national average.Lower rate of activity</w:t>
            </w:r>
          </w:p>
          <w:p w:rsidR="00EF56CA" w:rsidRPr="00FF17EC" w:rsidRDefault="00EF56CA" w:rsidP="00013F0C">
            <w:pPr>
              <w:pStyle w:val="ListParagraph"/>
              <w:numPr>
                <w:ilvl w:val="0"/>
                <w:numId w:val="34"/>
              </w:numPr>
              <w:rPr>
                <w:noProof/>
                <w:lang w:eastAsia="it-IT"/>
              </w:rPr>
            </w:pPr>
            <w:r w:rsidRPr="00FF17EC">
              <w:rPr>
                <w:noProof/>
                <w:lang w:eastAsia="it-IT"/>
              </w:rPr>
              <w:t>Strong disparities inside the Eligible area, beetween Timis county, very low unemployment, high activity rates, and other counties and districts , with higher unemployment in the south east</w:t>
            </w:r>
          </w:p>
          <w:p w:rsidR="00EF56CA" w:rsidRPr="00FF17EC" w:rsidRDefault="00EF56CA" w:rsidP="00013F0C">
            <w:pPr>
              <w:pStyle w:val="ListParagraph"/>
              <w:numPr>
                <w:ilvl w:val="0"/>
                <w:numId w:val="34"/>
              </w:numPr>
              <w:rPr>
                <w:noProof/>
                <w:lang w:eastAsia="it-IT"/>
              </w:rPr>
            </w:pPr>
            <w:r w:rsidRPr="00FF17EC">
              <w:rPr>
                <w:noProof/>
                <w:lang w:eastAsia="it-IT"/>
              </w:rPr>
              <w:t xml:space="preserve">Strong dualism across the border in the north, with full employment in Romania, and high unemployment in the neighbour district. </w:t>
            </w:r>
          </w:p>
          <w:p w:rsidR="00EF56CA" w:rsidRPr="00FF17EC" w:rsidRDefault="00EF56CA" w:rsidP="00013F0C">
            <w:pPr>
              <w:pStyle w:val="ListParagraph"/>
              <w:numPr>
                <w:ilvl w:val="0"/>
                <w:numId w:val="34"/>
              </w:numPr>
              <w:rPr>
                <w:noProof/>
                <w:lang w:eastAsia="it-IT"/>
              </w:rPr>
            </w:pPr>
            <w:r w:rsidRPr="00FF17EC">
              <w:rPr>
                <w:noProof/>
                <w:lang w:eastAsia="it-IT"/>
              </w:rPr>
              <w:t>In the labor market limited differences among women and men unemployment rate.</w:t>
            </w:r>
          </w:p>
          <w:p w:rsidR="00EF56CA" w:rsidRPr="00FF17EC" w:rsidRDefault="00EF56CA" w:rsidP="00013F0C">
            <w:pPr>
              <w:pStyle w:val="ListParagraph"/>
              <w:numPr>
                <w:ilvl w:val="0"/>
                <w:numId w:val="34"/>
              </w:numPr>
              <w:rPr>
                <w:noProof/>
                <w:lang w:eastAsia="it-IT"/>
              </w:rPr>
            </w:pPr>
            <w:r w:rsidRPr="00FF17EC">
              <w:rPr>
                <w:noProof/>
                <w:lang w:eastAsia="it-IT"/>
              </w:rPr>
              <w:t>Significant higher unemployment rates among young active population in the rural areas, and among Roma minorities.</w:t>
            </w:r>
          </w:p>
          <w:p w:rsidR="00EF56CA" w:rsidRPr="00FF17EC" w:rsidRDefault="00EF56CA" w:rsidP="00013F0C">
            <w:pPr>
              <w:pStyle w:val="ListParagraph"/>
              <w:numPr>
                <w:ilvl w:val="0"/>
                <w:numId w:val="34"/>
              </w:numPr>
              <w:rPr>
                <w:noProof/>
                <w:lang w:eastAsia="it-IT"/>
              </w:rPr>
            </w:pPr>
            <w:r w:rsidRPr="00FF17EC">
              <w:rPr>
                <w:noProof/>
                <w:lang w:eastAsia="it-IT"/>
              </w:rPr>
              <w:t xml:space="preserve">Social inclusion and poverty: the area is affected by poverty and social exclusion of large shares of the population, concentrated in the rural areas, and in the mountaineus districts of Carpathian. </w:t>
            </w:r>
          </w:p>
          <w:p w:rsidR="00EF56CA" w:rsidRPr="00FF17EC" w:rsidRDefault="00EF56CA" w:rsidP="00013F0C">
            <w:pPr>
              <w:pStyle w:val="ListParagraph"/>
              <w:numPr>
                <w:ilvl w:val="0"/>
                <w:numId w:val="34"/>
              </w:numPr>
              <w:rPr>
                <w:noProof/>
                <w:lang w:eastAsia="it-IT"/>
              </w:rPr>
            </w:pPr>
            <w:r w:rsidRPr="00FF17EC">
              <w:rPr>
                <w:noProof/>
                <w:lang w:eastAsia="it-IT"/>
              </w:rPr>
              <w:t xml:space="preserve">Main factors of social exclusion and poverty risk seem unemployment, and capacity to access basic services due to remoteness. </w:t>
            </w:r>
          </w:p>
        </w:tc>
      </w:tr>
    </w:tbl>
    <w:p w:rsidR="00EF56CA" w:rsidRPr="00FF17EC" w:rsidRDefault="00EF56CA" w:rsidP="00EF56CA">
      <w:pPr>
        <w:rPr>
          <w:noProof/>
          <w:lang w:eastAsia="it-IT"/>
        </w:rPr>
      </w:pPr>
    </w:p>
    <w:p w:rsidR="00EF56CA" w:rsidRPr="00FF17EC" w:rsidRDefault="00EF56CA" w:rsidP="00EF56CA">
      <w:pPr>
        <w:rPr>
          <w:noProof/>
          <w:lang w:eastAsia="it-IT"/>
        </w:rPr>
      </w:pPr>
      <w:r w:rsidRPr="00FF17EC">
        <w:rPr>
          <w:noProof/>
          <w:lang w:eastAsia="it-IT"/>
        </w:rPr>
        <w:t>The Labor market in the eligible area confirms the dualism emerged in the economic structure of the area.</w:t>
      </w:r>
      <w:r w:rsidR="00A73A7D" w:rsidRPr="00FF17EC">
        <w:rPr>
          <w:color w:val="000000"/>
          <w:spacing w:val="-1"/>
        </w:rPr>
        <w:t xml:space="preserve"> The  </w:t>
      </w:r>
      <w:r w:rsidRPr="00FF17EC">
        <w:rPr>
          <w:noProof/>
          <w:lang w:eastAsia="it-IT"/>
        </w:rPr>
        <w:t>distribution of active population</w:t>
      </w:r>
      <w:r w:rsidR="00634723" w:rsidRPr="00FF17EC">
        <w:rPr>
          <w:noProof/>
          <w:lang w:eastAsia="it-IT"/>
        </w:rPr>
        <w:t xml:space="preserve"> </w:t>
      </w:r>
      <w:r w:rsidRPr="00FF17EC">
        <w:rPr>
          <w:noProof/>
          <w:lang w:eastAsia="it-IT"/>
        </w:rPr>
        <w:t>per sector shows</w:t>
      </w:r>
      <w:r w:rsidR="00A73A7D" w:rsidRPr="00FF17EC">
        <w:rPr>
          <w:noProof/>
          <w:lang w:eastAsia="it-IT"/>
        </w:rPr>
        <w:t xml:space="preserve"> a strong specialization in manu</w:t>
      </w:r>
      <w:r w:rsidRPr="00FF17EC">
        <w:rPr>
          <w:noProof/>
          <w:lang w:eastAsia="it-IT"/>
        </w:rPr>
        <w:t>facture in the Timis county and in Severno Banatski in the Nor</w:t>
      </w:r>
      <w:r w:rsidR="00A73A7D" w:rsidRPr="00FF17EC">
        <w:rPr>
          <w:noProof/>
          <w:lang w:eastAsia="it-IT"/>
        </w:rPr>
        <w:t>th of the Eligible area, while i</w:t>
      </w:r>
      <w:r w:rsidRPr="00FF17EC">
        <w:rPr>
          <w:noProof/>
          <w:lang w:eastAsia="it-IT"/>
        </w:rPr>
        <w:t>n Caras Severin, Mehedinti and Braničevski in the Centre East, emerges a strong concentration in Agriculture. These data, together to the lower productivity, and the smaller quantity of agricultural resources, in particular land, confirm the distance in the level of local development between the two areas. In the Borski district can be noticed the specialization in the Mining sector. Mehedinty, and Braničevski, share a specialization in the energy sector, due to the activities related to the hidrohelectric power centrals.</w:t>
      </w:r>
    </w:p>
    <w:p w:rsidR="00EF56CA" w:rsidRPr="00FF17EC" w:rsidRDefault="00EF56CA" w:rsidP="00EF56CA">
      <w:pPr>
        <w:rPr>
          <w:noProof/>
          <w:lang w:eastAsia="it-IT"/>
        </w:rPr>
      </w:pPr>
      <w:r w:rsidRPr="00FF17EC">
        <w:rPr>
          <w:noProof/>
          <w:lang w:eastAsia="it-IT"/>
        </w:rPr>
        <w:lastRenderedPageBreak/>
        <w:t xml:space="preserve">The strong similarity of neighbor regions on the two sides of the border, and the dualism from North to South east, signals a strong potential for cross border cooperation. </w:t>
      </w:r>
    </w:p>
    <w:tbl>
      <w:tblPr>
        <w:tblW w:w="8142" w:type="dxa"/>
        <w:tblInd w:w="55" w:type="dxa"/>
        <w:tblCellMar>
          <w:left w:w="70" w:type="dxa"/>
          <w:right w:w="70" w:type="dxa"/>
        </w:tblCellMar>
        <w:tblLook w:val="04A0" w:firstRow="1" w:lastRow="0" w:firstColumn="1" w:lastColumn="0" w:noHBand="0" w:noVBand="1"/>
      </w:tblPr>
      <w:tblGrid>
        <w:gridCol w:w="1587"/>
        <w:gridCol w:w="1263"/>
        <w:gridCol w:w="1204"/>
        <w:gridCol w:w="1562"/>
        <w:gridCol w:w="1316"/>
        <w:gridCol w:w="1210"/>
      </w:tblGrid>
      <w:tr w:rsidR="00EF56CA" w:rsidRPr="00FF17EC" w:rsidTr="00A4113E">
        <w:trPr>
          <w:trHeight w:val="885"/>
        </w:trPr>
        <w:tc>
          <w:tcPr>
            <w:tcW w:w="1587"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center"/>
              <w:rPr>
                <w:rFonts w:cs="Times New Roman"/>
                <w:lang w:val="en-US" w:eastAsia="it-IT"/>
              </w:rPr>
            </w:pPr>
          </w:p>
        </w:tc>
        <w:tc>
          <w:tcPr>
            <w:tcW w:w="1263"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center"/>
              <w:rPr>
                <w:rFonts w:cs="Times New Roman"/>
                <w:i/>
                <w:iCs/>
                <w:lang w:val="it-IT" w:eastAsia="it-IT"/>
              </w:rPr>
            </w:pPr>
            <w:r w:rsidRPr="00FF17EC">
              <w:rPr>
                <w:rFonts w:cs="Times New Roman"/>
                <w:i/>
                <w:iCs/>
                <w:lang w:val="it-IT" w:eastAsia="it-IT"/>
              </w:rPr>
              <w:t>Agriculture</w:t>
            </w:r>
          </w:p>
        </w:tc>
        <w:tc>
          <w:tcPr>
            <w:tcW w:w="1204"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center"/>
              <w:rPr>
                <w:rFonts w:cs="Times New Roman"/>
                <w:i/>
                <w:iCs/>
                <w:lang w:val="it-IT" w:eastAsia="it-IT"/>
              </w:rPr>
            </w:pPr>
            <w:r w:rsidRPr="00FF17EC">
              <w:rPr>
                <w:rFonts w:cs="Times New Roman"/>
                <w:i/>
                <w:iCs/>
                <w:lang w:val="it-IT" w:eastAsia="it-IT"/>
              </w:rPr>
              <w:t>Mining</w:t>
            </w:r>
          </w:p>
        </w:tc>
        <w:tc>
          <w:tcPr>
            <w:tcW w:w="1562" w:type="dxa"/>
            <w:tcBorders>
              <w:top w:val="single" w:sz="4" w:space="0" w:color="auto"/>
              <w:left w:val="nil"/>
              <w:bottom w:val="single" w:sz="4" w:space="0" w:color="auto"/>
              <w:right w:val="nil"/>
            </w:tcBorders>
            <w:shd w:val="clear" w:color="auto" w:fill="auto"/>
            <w:vAlign w:val="bottom"/>
            <w:hideMark/>
          </w:tcPr>
          <w:p w:rsidR="00EF56CA" w:rsidRPr="00FF17EC" w:rsidRDefault="004B41F0" w:rsidP="006433A2">
            <w:pPr>
              <w:keepNext/>
              <w:spacing w:after="0" w:line="240" w:lineRule="auto"/>
              <w:jc w:val="center"/>
              <w:rPr>
                <w:rFonts w:cs="Times New Roman"/>
                <w:i/>
                <w:iCs/>
                <w:lang w:val="it-IT" w:eastAsia="it-IT"/>
              </w:rPr>
            </w:pPr>
            <w:r w:rsidRPr="00FF17EC">
              <w:rPr>
                <w:rFonts w:cs="Times New Roman"/>
                <w:i/>
                <w:iCs/>
                <w:lang w:val="it-IT" w:eastAsia="it-IT"/>
              </w:rPr>
              <w:t>Manu</w:t>
            </w:r>
            <w:r w:rsidR="00EF56CA" w:rsidRPr="00FF17EC">
              <w:rPr>
                <w:rFonts w:cs="Times New Roman"/>
                <w:i/>
                <w:iCs/>
                <w:lang w:val="it-IT" w:eastAsia="it-IT"/>
              </w:rPr>
              <w:t>facture and construction</w:t>
            </w:r>
          </w:p>
        </w:tc>
        <w:tc>
          <w:tcPr>
            <w:tcW w:w="1316"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center"/>
              <w:rPr>
                <w:rFonts w:cs="Times New Roman"/>
                <w:i/>
                <w:iCs/>
                <w:lang w:val="it-IT" w:eastAsia="it-IT"/>
              </w:rPr>
            </w:pPr>
            <w:r w:rsidRPr="00FF17EC">
              <w:rPr>
                <w:rFonts w:cs="Times New Roman"/>
                <w:i/>
                <w:iCs/>
                <w:lang w:val="it-IT" w:eastAsia="it-IT"/>
              </w:rPr>
              <w:t>Electricity-water, utilities</w:t>
            </w:r>
          </w:p>
        </w:tc>
        <w:tc>
          <w:tcPr>
            <w:tcW w:w="1210"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center"/>
              <w:rPr>
                <w:rFonts w:cs="Times New Roman"/>
                <w:i/>
                <w:iCs/>
                <w:lang w:val="it-IT" w:eastAsia="it-IT"/>
              </w:rPr>
            </w:pPr>
            <w:r w:rsidRPr="00FF17EC">
              <w:rPr>
                <w:rFonts w:cs="Times New Roman"/>
                <w:i/>
                <w:iCs/>
                <w:lang w:val="it-IT" w:eastAsia="it-IT"/>
              </w:rPr>
              <w:t>Services</w:t>
            </w:r>
          </w:p>
        </w:tc>
      </w:tr>
      <w:tr w:rsidR="00EF56CA" w:rsidRPr="00FF17EC" w:rsidTr="00A4113E">
        <w:trPr>
          <w:trHeight w:val="300"/>
        </w:trPr>
        <w:tc>
          <w:tcPr>
            <w:tcW w:w="1587"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Timiş</w:t>
            </w:r>
          </w:p>
        </w:tc>
        <w:tc>
          <w:tcPr>
            <w:tcW w:w="126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23%</w:t>
            </w:r>
          </w:p>
        </w:tc>
        <w:tc>
          <w:tcPr>
            <w:tcW w:w="1204"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0%</w:t>
            </w:r>
          </w:p>
        </w:tc>
        <w:tc>
          <w:tcPr>
            <w:tcW w:w="1562"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31%</w:t>
            </w:r>
          </w:p>
        </w:tc>
        <w:tc>
          <w:tcPr>
            <w:tcW w:w="131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w:t>
            </w:r>
          </w:p>
        </w:tc>
        <w:tc>
          <w:tcPr>
            <w:tcW w:w="1210"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44%</w:t>
            </w:r>
          </w:p>
        </w:tc>
      </w:tr>
      <w:tr w:rsidR="00EF56CA" w:rsidRPr="00FF17EC" w:rsidTr="00A4113E">
        <w:trPr>
          <w:trHeight w:val="367"/>
        </w:trPr>
        <w:tc>
          <w:tcPr>
            <w:tcW w:w="1587"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Caraş-Severin</w:t>
            </w:r>
          </w:p>
        </w:tc>
        <w:tc>
          <w:tcPr>
            <w:tcW w:w="126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37%</w:t>
            </w:r>
          </w:p>
        </w:tc>
        <w:tc>
          <w:tcPr>
            <w:tcW w:w="1204"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0%</w:t>
            </w:r>
          </w:p>
        </w:tc>
        <w:tc>
          <w:tcPr>
            <w:tcW w:w="1562"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25%</w:t>
            </w:r>
          </w:p>
        </w:tc>
        <w:tc>
          <w:tcPr>
            <w:tcW w:w="131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w:t>
            </w:r>
          </w:p>
        </w:tc>
        <w:tc>
          <w:tcPr>
            <w:tcW w:w="1210"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35%</w:t>
            </w:r>
          </w:p>
        </w:tc>
      </w:tr>
      <w:tr w:rsidR="00EF56CA" w:rsidRPr="00FF17EC" w:rsidTr="00A4113E">
        <w:trPr>
          <w:trHeight w:val="300"/>
        </w:trPr>
        <w:tc>
          <w:tcPr>
            <w:tcW w:w="1587"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Mehedinţi</w:t>
            </w:r>
          </w:p>
        </w:tc>
        <w:tc>
          <w:tcPr>
            <w:tcW w:w="126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47%</w:t>
            </w:r>
          </w:p>
        </w:tc>
        <w:tc>
          <w:tcPr>
            <w:tcW w:w="1204"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1%</w:t>
            </w:r>
          </w:p>
        </w:tc>
        <w:tc>
          <w:tcPr>
            <w:tcW w:w="1562"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18%</w:t>
            </w:r>
          </w:p>
        </w:tc>
        <w:tc>
          <w:tcPr>
            <w:tcW w:w="131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4%</w:t>
            </w:r>
          </w:p>
        </w:tc>
        <w:tc>
          <w:tcPr>
            <w:tcW w:w="1210"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31%</w:t>
            </w:r>
          </w:p>
        </w:tc>
      </w:tr>
      <w:tr w:rsidR="00EF56CA" w:rsidRPr="00FF17EC" w:rsidTr="00A4113E">
        <w:trPr>
          <w:trHeight w:val="300"/>
        </w:trPr>
        <w:tc>
          <w:tcPr>
            <w:tcW w:w="1587"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ROMANIA</w:t>
            </w:r>
          </w:p>
        </w:tc>
        <w:tc>
          <w:tcPr>
            <w:tcW w:w="126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29%</w:t>
            </w:r>
          </w:p>
        </w:tc>
        <w:tc>
          <w:tcPr>
            <w:tcW w:w="1204"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1%</w:t>
            </w:r>
          </w:p>
        </w:tc>
        <w:tc>
          <w:tcPr>
            <w:tcW w:w="1562"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25%</w:t>
            </w:r>
          </w:p>
        </w:tc>
        <w:tc>
          <w:tcPr>
            <w:tcW w:w="131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2%</w:t>
            </w:r>
          </w:p>
        </w:tc>
        <w:tc>
          <w:tcPr>
            <w:tcW w:w="1210"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43%</w:t>
            </w:r>
          </w:p>
        </w:tc>
      </w:tr>
      <w:tr w:rsidR="00EF56CA" w:rsidRPr="00FF17EC" w:rsidTr="00A4113E">
        <w:trPr>
          <w:trHeight w:val="315"/>
        </w:trPr>
        <w:tc>
          <w:tcPr>
            <w:tcW w:w="1587"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Severno-Banatski</w:t>
            </w:r>
          </w:p>
        </w:tc>
        <w:tc>
          <w:tcPr>
            <w:tcW w:w="126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28%</w:t>
            </w:r>
          </w:p>
        </w:tc>
        <w:tc>
          <w:tcPr>
            <w:tcW w:w="1204"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1%</w:t>
            </w:r>
          </w:p>
        </w:tc>
        <w:tc>
          <w:tcPr>
            <w:tcW w:w="1562"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42%</w:t>
            </w:r>
          </w:p>
        </w:tc>
        <w:tc>
          <w:tcPr>
            <w:tcW w:w="131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w:t>
            </w:r>
          </w:p>
        </w:tc>
        <w:tc>
          <w:tcPr>
            <w:tcW w:w="1210"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26%</w:t>
            </w:r>
          </w:p>
        </w:tc>
      </w:tr>
      <w:tr w:rsidR="00EF56CA" w:rsidRPr="00FF17EC" w:rsidTr="00A4113E">
        <w:trPr>
          <w:trHeight w:val="285"/>
        </w:trPr>
        <w:tc>
          <w:tcPr>
            <w:tcW w:w="1587"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Srednje-Banatski</w:t>
            </w:r>
          </w:p>
        </w:tc>
        <w:tc>
          <w:tcPr>
            <w:tcW w:w="126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26%</w:t>
            </w:r>
          </w:p>
        </w:tc>
        <w:tc>
          <w:tcPr>
            <w:tcW w:w="1204"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w:t>
            </w:r>
          </w:p>
        </w:tc>
        <w:tc>
          <w:tcPr>
            <w:tcW w:w="1562"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38%</w:t>
            </w:r>
          </w:p>
        </w:tc>
        <w:tc>
          <w:tcPr>
            <w:tcW w:w="131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4%</w:t>
            </w:r>
          </w:p>
        </w:tc>
        <w:tc>
          <w:tcPr>
            <w:tcW w:w="1210"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29%</w:t>
            </w:r>
          </w:p>
        </w:tc>
      </w:tr>
      <w:tr w:rsidR="00EF56CA" w:rsidRPr="00FF17EC" w:rsidTr="00A4113E">
        <w:trPr>
          <w:trHeight w:val="296"/>
        </w:trPr>
        <w:tc>
          <w:tcPr>
            <w:tcW w:w="1587"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Južno-Banatski</w:t>
            </w:r>
          </w:p>
        </w:tc>
        <w:tc>
          <w:tcPr>
            <w:tcW w:w="126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22%</w:t>
            </w:r>
          </w:p>
        </w:tc>
        <w:tc>
          <w:tcPr>
            <w:tcW w:w="1204"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0%</w:t>
            </w:r>
          </w:p>
        </w:tc>
        <w:tc>
          <w:tcPr>
            <w:tcW w:w="1562"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38%</w:t>
            </w:r>
          </w:p>
        </w:tc>
        <w:tc>
          <w:tcPr>
            <w:tcW w:w="131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4%</w:t>
            </w:r>
          </w:p>
        </w:tc>
        <w:tc>
          <w:tcPr>
            <w:tcW w:w="1210"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35%</w:t>
            </w:r>
          </w:p>
        </w:tc>
      </w:tr>
      <w:tr w:rsidR="004B41F0" w:rsidRPr="00FF17EC" w:rsidTr="00A4113E">
        <w:trPr>
          <w:trHeight w:val="300"/>
        </w:trPr>
        <w:tc>
          <w:tcPr>
            <w:tcW w:w="1587" w:type="dxa"/>
            <w:tcBorders>
              <w:top w:val="nil"/>
              <w:left w:val="nil"/>
              <w:bottom w:val="nil"/>
              <w:right w:val="nil"/>
            </w:tcBorders>
            <w:shd w:val="clear" w:color="auto" w:fill="auto"/>
            <w:vAlign w:val="bottom"/>
          </w:tcPr>
          <w:p w:rsidR="004B41F0" w:rsidRPr="00FF17EC" w:rsidRDefault="004B41F0" w:rsidP="006433A2">
            <w:pPr>
              <w:keepNext/>
              <w:spacing w:after="0" w:line="240" w:lineRule="auto"/>
              <w:jc w:val="center"/>
              <w:rPr>
                <w:rFonts w:cs="Times New Roman"/>
                <w:lang w:val="it-IT" w:eastAsia="it-IT"/>
              </w:rPr>
            </w:pPr>
            <w:r w:rsidRPr="00FF17EC">
              <w:rPr>
                <w:rFonts w:cs="Times New Roman"/>
                <w:lang w:val="it-IT" w:eastAsia="it-IT"/>
              </w:rPr>
              <w:t>Podunavski</w:t>
            </w:r>
          </w:p>
        </w:tc>
        <w:tc>
          <w:tcPr>
            <w:tcW w:w="1263" w:type="dxa"/>
            <w:tcBorders>
              <w:top w:val="nil"/>
              <w:left w:val="nil"/>
              <w:bottom w:val="nil"/>
              <w:right w:val="nil"/>
            </w:tcBorders>
            <w:shd w:val="clear" w:color="auto" w:fill="auto"/>
            <w:noWrap/>
            <w:vAlign w:val="bottom"/>
          </w:tcPr>
          <w:p w:rsidR="004B41F0" w:rsidRPr="00FF17EC" w:rsidRDefault="004B41F0" w:rsidP="006433A2">
            <w:pPr>
              <w:keepNext/>
              <w:spacing w:after="0" w:line="240" w:lineRule="auto"/>
              <w:jc w:val="center"/>
              <w:rPr>
                <w:rFonts w:cs="Times New Roman"/>
                <w:lang w:val="it-IT" w:eastAsia="it-IT"/>
              </w:rPr>
            </w:pPr>
          </w:p>
        </w:tc>
        <w:tc>
          <w:tcPr>
            <w:tcW w:w="1204" w:type="dxa"/>
            <w:tcBorders>
              <w:top w:val="nil"/>
              <w:left w:val="nil"/>
              <w:bottom w:val="nil"/>
              <w:right w:val="nil"/>
            </w:tcBorders>
            <w:shd w:val="clear" w:color="auto" w:fill="auto"/>
            <w:noWrap/>
            <w:vAlign w:val="bottom"/>
          </w:tcPr>
          <w:p w:rsidR="004B41F0" w:rsidRPr="00FF17EC" w:rsidRDefault="004B41F0" w:rsidP="006433A2">
            <w:pPr>
              <w:keepNext/>
              <w:spacing w:after="0" w:line="240" w:lineRule="auto"/>
              <w:jc w:val="center"/>
              <w:rPr>
                <w:rFonts w:cs="Times New Roman"/>
                <w:lang w:val="it-IT" w:eastAsia="it-IT"/>
              </w:rPr>
            </w:pPr>
          </w:p>
        </w:tc>
        <w:tc>
          <w:tcPr>
            <w:tcW w:w="1562" w:type="dxa"/>
            <w:tcBorders>
              <w:top w:val="nil"/>
              <w:left w:val="nil"/>
              <w:bottom w:val="nil"/>
              <w:right w:val="nil"/>
            </w:tcBorders>
            <w:shd w:val="clear" w:color="auto" w:fill="auto"/>
            <w:noWrap/>
            <w:vAlign w:val="bottom"/>
          </w:tcPr>
          <w:p w:rsidR="004B41F0" w:rsidRPr="00FF17EC" w:rsidRDefault="004B41F0" w:rsidP="006433A2">
            <w:pPr>
              <w:keepNext/>
              <w:spacing w:after="0" w:line="240" w:lineRule="auto"/>
              <w:jc w:val="center"/>
              <w:rPr>
                <w:rFonts w:cs="Times New Roman"/>
                <w:lang w:val="it-IT" w:eastAsia="it-IT"/>
              </w:rPr>
            </w:pPr>
          </w:p>
        </w:tc>
        <w:tc>
          <w:tcPr>
            <w:tcW w:w="1316" w:type="dxa"/>
            <w:tcBorders>
              <w:top w:val="nil"/>
              <w:left w:val="nil"/>
              <w:bottom w:val="nil"/>
              <w:right w:val="nil"/>
            </w:tcBorders>
            <w:shd w:val="clear" w:color="auto" w:fill="auto"/>
            <w:noWrap/>
            <w:vAlign w:val="bottom"/>
          </w:tcPr>
          <w:p w:rsidR="004B41F0" w:rsidRPr="00FF17EC" w:rsidRDefault="004B41F0" w:rsidP="006433A2">
            <w:pPr>
              <w:keepNext/>
              <w:spacing w:after="0" w:line="240" w:lineRule="auto"/>
              <w:jc w:val="center"/>
              <w:rPr>
                <w:rFonts w:cs="Times New Roman"/>
                <w:lang w:val="it-IT" w:eastAsia="it-IT"/>
              </w:rPr>
            </w:pPr>
          </w:p>
        </w:tc>
        <w:tc>
          <w:tcPr>
            <w:tcW w:w="1210" w:type="dxa"/>
            <w:tcBorders>
              <w:top w:val="nil"/>
              <w:left w:val="nil"/>
              <w:bottom w:val="nil"/>
              <w:right w:val="nil"/>
            </w:tcBorders>
            <w:shd w:val="clear" w:color="auto" w:fill="auto"/>
            <w:noWrap/>
            <w:vAlign w:val="bottom"/>
          </w:tcPr>
          <w:p w:rsidR="004B41F0" w:rsidRPr="00FF17EC" w:rsidRDefault="004B41F0" w:rsidP="006433A2">
            <w:pPr>
              <w:keepNext/>
              <w:spacing w:after="0" w:line="240" w:lineRule="auto"/>
              <w:jc w:val="center"/>
              <w:rPr>
                <w:rFonts w:cs="Times New Roman"/>
                <w:lang w:val="it-IT" w:eastAsia="it-IT"/>
              </w:rPr>
            </w:pPr>
          </w:p>
        </w:tc>
      </w:tr>
      <w:tr w:rsidR="00EF56CA" w:rsidRPr="00FF17EC" w:rsidTr="00A4113E">
        <w:trPr>
          <w:trHeight w:val="300"/>
        </w:trPr>
        <w:tc>
          <w:tcPr>
            <w:tcW w:w="1587"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Braničevski</w:t>
            </w:r>
          </w:p>
        </w:tc>
        <w:tc>
          <w:tcPr>
            <w:tcW w:w="126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37%</w:t>
            </w:r>
          </w:p>
        </w:tc>
        <w:tc>
          <w:tcPr>
            <w:tcW w:w="1204"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4%</w:t>
            </w:r>
          </w:p>
        </w:tc>
        <w:tc>
          <w:tcPr>
            <w:tcW w:w="1562"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21%</w:t>
            </w:r>
          </w:p>
        </w:tc>
        <w:tc>
          <w:tcPr>
            <w:tcW w:w="131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9%</w:t>
            </w:r>
          </w:p>
        </w:tc>
        <w:tc>
          <w:tcPr>
            <w:tcW w:w="1210"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29%</w:t>
            </w:r>
          </w:p>
        </w:tc>
      </w:tr>
      <w:tr w:rsidR="00EF56CA" w:rsidRPr="00FF17EC" w:rsidTr="00A4113E">
        <w:trPr>
          <w:trHeight w:val="300"/>
        </w:trPr>
        <w:tc>
          <w:tcPr>
            <w:tcW w:w="1587"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Borski</w:t>
            </w:r>
          </w:p>
        </w:tc>
        <w:tc>
          <w:tcPr>
            <w:tcW w:w="126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29%</w:t>
            </w:r>
          </w:p>
        </w:tc>
        <w:tc>
          <w:tcPr>
            <w:tcW w:w="1204"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11%</w:t>
            </w:r>
          </w:p>
        </w:tc>
        <w:tc>
          <w:tcPr>
            <w:tcW w:w="1562"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27%</w:t>
            </w:r>
          </w:p>
        </w:tc>
        <w:tc>
          <w:tcPr>
            <w:tcW w:w="131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8%</w:t>
            </w:r>
          </w:p>
        </w:tc>
        <w:tc>
          <w:tcPr>
            <w:tcW w:w="1210"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lang w:val="it-IT" w:eastAsia="it-IT"/>
              </w:rPr>
            </w:pPr>
            <w:r w:rsidRPr="00FF17EC">
              <w:rPr>
                <w:rFonts w:cs="Times New Roman"/>
                <w:lang w:val="it-IT" w:eastAsia="it-IT"/>
              </w:rPr>
              <w:t>26%</w:t>
            </w:r>
          </w:p>
        </w:tc>
      </w:tr>
      <w:tr w:rsidR="00EF56CA" w:rsidRPr="00FF17EC" w:rsidTr="00A4113E">
        <w:trPr>
          <w:trHeight w:val="300"/>
        </w:trPr>
        <w:tc>
          <w:tcPr>
            <w:tcW w:w="1587" w:type="dxa"/>
            <w:tcBorders>
              <w:top w:val="nil"/>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SERBIA</w:t>
            </w:r>
          </w:p>
        </w:tc>
        <w:tc>
          <w:tcPr>
            <w:tcW w:w="1263" w:type="dxa"/>
            <w:tcBorders>
              <w:top w:val="nil"/>
              <w:left w:val="nil"/>
              <w:bottom w:val="single" w:sz="4" w:space="0" w:color="auto"/>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28%</w:t>
            </w:r>
          </w:p>
        </w:tc>
        <w:tc>
          <w:tcPr>
            <w:tcW w:w="1204" w:type="dxa"/>
            <w:tcBorders>
              <w:top w:val="nil"/>
              <w:left w:val="nil"/>
              <w:bottom w:val="single" w:sz="4" w:space="0" w:color="auto"/>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3%</w:t>
            </w:r>
          </w:p>
        </w:tc>
        <w:tc>
          <w:tcPr>
            <w:tcW w:w="1562" w:type="dxa"/>
            <w:tcBorders>
              <w:top w:val="nil"/>
              <w:left w:val="nil"/>
              <w:bottom w:val="single" w:sz="4" w:space="0" w:color="auto"/>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34%</w:t>
            </w:r>
          </w:p>
        </w:tc>
        <w:tc>
          <w:tcPr>
            <w:tcW w:w="1316" w:type="dxa"/>
            <w:tcBorders>
              <w:top w:val="nil"/>
              <w:left w:val="nil"/>
              <w:bottom w:val="single" w:sz="4" w:space="0" w:color="auto"/>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6%</w:t>
            </w:r>
          </w:p>
        </w:tc>
        <w:tc>
          <w:tcPr>
            <w:tcW w:w="1210" w:type="dxa"/>
            <w:tcBorders>
              <w:top w:val="nil"/>
              <w:left w:val="nil"/>
              <w:bottom w:val="single" w:sz="4" w:space="0" w:color="auto"/>
              <w:right w:val="nil"/>
            </w:tcBorders>
            <w:shd w:val="clear" w:color="auto" w:fill="auto"/>
            <w:noWrap/>
            <w:vAlign w:val="bottom"/>
            <w:hideMark/>
          </w:tcPr>
          <w:p w:rsidR="00EF56CA" w:rsidRPr="00FF17EC" w:rsidRDefault="00EF56CA" w:rsidP="006433A2">
            <w:pPr>
              <w:keepNext/>
              <w:spacing w:after="0" w:line="240" w:lineRule="auto"/>
              <w:jc w:val="center"/>
              <w:rPr>
                <w:rFonts w:cs="Times New Roman"/>
                <w:b/>
                <w:bCs/>
                <w:lang w:val="it-IT" w:eastAsia="it-IT"/>
              </w:rPr>
            </w:pPr>
            <w:r w:rsidRPr="00FF17EC">
              <w:rPr>
                <w:rFonts w:cs="Times New Roman"/>
                <w:b/>
                <w:bCs/>
                <w:lang w:val="it-IT" w:eastAsia="it-IT"/>
              </w:rPr>
              <w:t>30%</w:t>
            </w:r>
          </w:p>
        </w:tc>
      </w:tr>
    </w:tbl>
    <w:p w:rsidR="00EF56CA" w:rsidRPr="00FF17EC" w:rsidRDefault="00A4113E" w:rsidP="00A4113E">
      <w:pPr>
        <w:pStyle w:val="Caption"/>
        <w:rPr>
          <w:noProof/>
          <w:lang w:val="en-US" w:eastAsia="it-IT"/>
        </w:rPr>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5</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1</w:t>
      </w:r>
      <w:r w:rsidR="00085686" w:rsidRPr="00FF17EC">
        <w:rPr>
          <w:noProof/>
        </w:rPr>
        <w:fldChar w:fldCharType="end"/>
      </w:r>
      <w:r w:rsidRPr="00FF17EC">
        <w:t xml:space="preserve"> </w:t>
      </w:r>
      <w:r w:rsidRPr="00FF17EC">
        <w:rPr>
          <w:rFonts w:cs="Times New Roman"/>
          <w:bCs w:val="0"/>
          <w:iCs/>
          <w:sz w:val="22"/>
          <w:lang w:val="en-US" w:eastAsia="it-IT"/>
        </w:rPr>
        <w:t>Active population per sector</w:t>
      </w:r>
      <w:r w:rsidR="00380ABF" w:rsidRPr="00FF17EC">
        <w:rPr>
          <w:rFonts w:cs="Times New Roman"/>
          <w:bCs w:val="0"/>
          <w:iCs/>
          <w:sz w:val="22"/>
          <w:lang w:val="en-US" w:eastAsia="it-IT"/>
        </w:rPr>
        <w:t>. (</w:t>
      </w:r>
      <w:r w:rsidR="00F966D9" w:rsidRPr="00FF17EC">
        <w:rPr>
          <w:rFonts w:cs="Times New Roman"/>
          <w:bCs w:val="0"/>
          <w:iCs/>
          <w:sz w:val="22"/>
          <w:lang w:val="en-US" w:eastAsia="it-IT"/>
        </w:rPr>
        <w:t>NIS- Serbia Romania</w:t>
      </w:r>
      <w:r w:rsidR="00380ABF" w:rsidRPr="00FF17EC">
        <w:rPr>
          <w:rFonts w:cs="Times New Roman"/>
          <w:bCs w:val="0"/>
          <w:iCs/>
          <w:sz w:val="22"/>
          <w:lang w:val="en-US" w:eastAsia="it-IT"/>
        </w:rPr>
        <w:t xml:space="preserve"> ?)</w:t>
      </w:r>
    </w:p>
    <w:p w:rsidR="00A4113E" w:rsidRPr="00FF17EC" w:rsidRDefault="00A4113E" w:rsidP="00EF56CA">
      <w:pPr>
        <w:rPr>
          <w:noProof/>
          <w:lang w:eastAsia="it-IT"/>
        </w:rPr>
      </w:pPr>
    </w:p>
    <w:p w:rsidR="00EF56CA" w:rsidRPr="00FF17EC" w:rsidRDefault="00EF56CA" w:rsidP="00EF56CA">
      <w:pPr>
        <w:rPr>
          <w:noProof/>
          <w:lang w:eastAsia="it-IT"/>
        </w:rPr>
      </w:pPr>
      <w:r w:rsidRPr="00FF17EC">
        <w:rPr>
          <w:noProof/>
          <w:lang w:eastAsia="it-IT"/>
        </w:rPr>
        <w:t>The whole area presents an employment rate lower then the national average, with a more omogenous structure in the Serbian districts, and a strong dualism between Timiș and the other counties in Romania (graph 5.1).</w:t>
      </w:r>
    </w:p>
    <w:p w:rsidR="00EF56CA" w:rsidRPr="00FF17EC" w:rsidRDefault="00EF56CA" w:rsidP="00013F0C">
      <w:pPr>
        <w:keepNext/>
        <w:keepLines/>
      </w:pPr>
      <w:r w:rsidRPr="00FF17EC" w:rsidDel="00233C98">
        <w:lastRenderedPageBreak/>
        <w:t xml:space="preserve"> </w:t>
      </w:r>
      <w:r w:rsidR="00D47031" w:rsidRPr="00FF17EC">
        <w:rPr>
          <w:noProof/>
          <w:lang w:eastAsia="en-GB"/>
        </w:rPr>
        <w:drawing>
          <wp:inline distT="0" distB="0" distL="0" distR="0">
            <wp:extent cx="5660305" cy="2880000"/>
            <wp:effectExtent l="19050" t="0" r="0" b="0"/>
            <wp:docPr id="1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a:stretch>
                      <a:fillRect/>
                    </a:stretch>
                  </pic:blipFill>
                  <pic:spPr bwMode="auto">
                    <a:xfrm>
                      <a:off x="0" y="0"/>
                      <a:ext cx="5660305" cy="2880000"/>
                    </a:xfrm>
                    <a:prstGeom prst="rect">
                      <a:avLst/>
                    </a:prstGeom>
                    <a:noFill/>
                  </pic:spPr>
                </pic:pic>
              </a:graphicData>
            </a:graphic>
          </wp:inline>
        </w:drawing>
      </w:r>
    </w:p>
    <w:p w:rsidR="00EF56CA" w:rsidRPr="00FF17EC" w:rsidRDefault="00EF56CA" w:rsidP="00EF56CA">
      <w:pPr>
        <w:pStyle w:val="Caption"/>
      </w:pPr>
      <w:r w:rsidRPr="00FF17EC">
        <w:t xml:space="preserve">Graph </w:t>
      </w:r>
      <w:r w:rsidR="00C77390" w:rsidRPr="00FF17EC">
        <w:t>5</w:t>
      </w:r>
      <w:r w:rsidRPr="00FF17EC">
        <w:noBreakHyphen/>
      </w:r>
      <w:r w:rsidR="00085686" w:rsidRPr="00FF17EC">
        <w:fldChar w:fldCharType="begin"/>
      </w:r>
      <w:r w:rsidR="00EE702C" w:rsidRPr="00FF17EC">
        <w:instrText xml:space="preserve"> SEQ Graph \* ARABIC \s 1 </w:instrText>
      </w:r>
      <w:r w:rsidR="00085686" w:rsidRPr="00FF17EC">
        <w:fldChar w:fldCharType="separate"/>
      </w:r>
      <w:r w:rsidR="009737E5">
        <w:rPr>
          <w:noProof/>
        </w:rPr>
        <w:t>1</w:t>
      </w:r>
      <w:r w:rsidR="00085686" w:rsidRPr="00FF17EC">
        <w:rPr>
          <w:noProof/>
        </w:rPr>
        <w:fldChar w:fldCharType="end"/>
      </w:r>
      <w:r w:rsidRPr="00FF17EC">
        <w:t xml:space="preserve"> Employment rates. (NIS Romania, NIS Serbia)</w:t>
      </w:r>
    </w:p>
    <w:p w:rsidR="00C77390" w:rsidRPr="00FF17EC" w:rsidRDefault="00C77390" w:rsidP="00EF56CA">
      <w:pPr>
        <w:rPr>
          <w:noProof/>
          <w:lang w:eastAsia="it-IT"/>
        </w:rPr>
      </w:pPr>
    </w:p>
    <w:p w:rsidR="00EF56CA" w:rsidRPr="00FF17EC" w:rsidRDefault="00EF56CA" w:rsidP="00EF56CA">
      <w:pPr>
        <w:rPr>
          <w:noProof/>
          <w:lang w:eastAsia="it-IT"/>
        </w:rPr>
      </w:pPr>
      <w:r w:rsidRPr="00FF17EC">
        <w:rPr>
          <w:noProof/>
          <w:lang w:eastAsia="it-IT"/>
        </w:rPr>
        <w:t xml:space="preserve">The level of unemployment, measured as number of unemployed per 1000 of inhnabitants, is lower in Romania then in Serbia, but there are strong inequalities among counties and districts. In the North the Timis county shows a very low rate, that could lead to define the local labor market as a market of full employment. In the districts on the other side of the border the unemployment rates are much higher, three times that of Timisoara. The very strong differential of unemployment could lead to identify a potential attractiveness of the Romanian local market for labor forces from the other side of the border. And in fact, according to information provided by experts and stackeholders, there are initiatives by large companies in the district of Timis, to assess the possibilities of recruitment of labor forces across the border. </w:t>
      </w:r>
    </w:p>
    <w:p w:rsidR="00EF56CA" w:rsidRPr="00FF17EC" w:rsidRDefault="00EF56CA" w:rsidP="00EF56CA">
      <w:pPr>
        <w:rPr>
          <w:noProof/>
          <w:lang w:eastAsia="it-IT"/>
        </w:rPr>
      </w:pPr>
      <w:r w:rsidRPr="00FF17EC">
        <w:rPr>
          <w:noProof/>
          <w:lang w:eastAsia="it-IT"/>
        </w:rPr>
        <w:t>In the centre and east of the eligible area the labor market is much more homogeneous, with high unemployment rates on the two sides of the border. This data, considered togheter to the large rate of activity in the agricultural sector, signals the relevance of the challenge for the local communities, and a potential for common actions for growth and employment.</w:t>
      </w:r>
    </w:p>
    <w:p w:rsidR="00EF56CA" w:rsidRPr="00FF17EC" w:rsidRDefault="00EF56CA" w:rsidP="00EF56CA">
      <w:pPr>
        <w:rPr>
          <w:noProof/>
          <w:lang w:eastAsia="it-IT"/>
        </w:rPr>
      </w:pPr>
    </w:p>
    <w:p w:rsidR="00AC6A8D" w:rsidRPr="00FF17EC" w:rsidRDefault="00AC6A8D" w:rsidP="00EF56CA">
      <w:pPr>
        <w:rPr>
          <w:noProof/>
          <w:lang w:eastAsia="it-IT"/>
        </w:rPr>
      </w:pPr>
      <w:r w:rsidRPr="00FF17EC">
        <w:rPr>
          <w:noProof/>
          <w:lang w:eastAsia="en-GB"/>
        </w:rPr>
        <w:lastRenderedPageBreak/>
        <w:drawing>
          <wp:inline distT="0" distB="0" distL="0" distR="0">
            <wp:extent cx="4572000" cy="2933700"/>
            <wp:effectExtent l="0" t="0" r="19050" b="1905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7D1DDB" w:rsidRPr="00FF17EC" w:rsidRDefault="007D1DDB" w:rsidP="007D1DDB">
      <w:pPr>
        <w:pStyle w:val="Caption"/>
        <w:rPr>
          <w:lang w:val="en-US"/>
        </w:rPr>
      </w:pPr>
      <w:r w:rsidRPr="00FF17EC">
        <w:rPr>
          <w:lang w:val="en-US"/>
        </w:rPr>
        <w:t xml:space="preserve">Graph </w:t>
      </w:r>
      <w:r w:rsidR="00C77390" w:rsidRPr="00FF17EC">
        <w:t>5</w:t>
      </w:r>
      <w:r w:rsidRPr="00FF17EC">
        <w:rPr>
          <w:lang w:val="en-US"/>
        </w:rPr>
        <w:noBreakHyphen/>
      </w:r>
      <w:r w:rsidR="00085686" w:rsidRPr="00FF17EC">
        <w:fldChar w:fldCharType="begin"/>
      </w:r>
      <w:r w:rsidRPr="00FF17EC">
        <w:rPr>
          <w:lang w:val="en-US"/>
        </w:rPr>
        <w:instrText xml:space="preserve"> SEQ Graph \* ARABIC \s 1 </w:instrText>
      </w:r>
      <w:r w:rsidR="00085686" w:rsidRPr="00FF17EC">
        <w:fldChar w:fldCharType="separate"/>
      </w:r>
      <w:r w:rsidR="009737E5">
        <w:rPr>
          <w:noProof/>
          <w:lang w:val="en-US"/>
        </w:rPr>
        <w:t>2</w:t>
      </w:r>
      <w:r w:rsidR="00085686" w:rsidRPr="00FF17EC">
        <w:fldChar w:fldCharType="end"/>
      </w:r>
      <w:r w:rsidRPr="00FF17EC">
        <w:rPr>
          <w:lang w:val="en-US"/>
        </w:rPr>
        <w:t xml:space="preserve"> Unemployment rates (unemployed /1000 inhabitants)</w:t>
      </w:r>
    </w:p>
    <w:p w:rsidR="007D1DDB" w:rsidRPr="00FF17EC" w:rsidRDefault="007D1DDB" w:rsidP="00EF56CA">
      <w:pPr>
        <w:rPr>
          <w:noProof/>
          <w:lang w:val="en-US" w:eastAsia="it-IT"/>
        </w:rPr>
      </w:pPr>
    </w:p>
    <w:p w:rsidR="00EF56CA" w:rsidRPr="00FF17EC" w:rsidRDefault="00EF56CA" w:rsidP="00EF56CA">
      <w:pPr>
        <w:rPr>
          <w:noProof/>
          <w:lang w:eastAsia="it-IT"/>
        </w:rPr>
      </w:pPr>
      <w:r w:rsidRPr="00FF17EC">
        <w:rPr>
          <w:noProof/>
          <w:lang w:eastAsia="it-IT"/>
        </w:rPr>
        <w:t xml:space="preserve">The area suffered the impact of the global crisis in the last years, with an increase of unemployment, that was in line with the national tendencies. According to the dinamic of unemployment observed between 2005 and 2012, in the counties and districts, in all areas the impact of the crisis was similar, with a difference between Serbia and Romania. </w:t>
      </w:r>
    </w:p>
    <w:p w:rsidR="00EF56CA" w:rsidRPr="00FF17EC" w:rsidRDefault="00EF56CA" w:rsidP="007D1DDB">
      <w:pPr>
        <w:keepNext/>
        <w:keepLines/>
      </w:pPr>
      <w:r w:rsidRPr="00FF17EC">
        <w:rPr>
          <w:noProof/>
          <w:lang w:eastAsia="en-GB"/>
        </w:rPr>
        <w:lastRenderedPageBreak/>
        <w:drawing>
          <wp:inline distT="0" distB="0" distL="0" distR="0">
            <wp:extent cx="4594860" cy="2758440"/>
            <wp:effectExtent l="19050" t="0" r="0" b="0"/>
            <wp:docPr id="1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4594860" cy="2758440"/>
                    </a:xfrm>
                    <a:prstGeom prst="rect">
                      <a:avLst/>
                    </a:prstGeom>
                    <a:noFill/>
                  </pic:spPr>
                </pic:pic>
              </a:graphicData>
            </a:graphic>
          </wp:inline>
        </w:drawing>
      </w:r>
    </w:p>
    <w:p w:rsidR="00EF56CA" w:rsidRPr="00FF17EC" w:rsidRDefault="00EF56CA" w:rsidP="00EF56CA">
      <w:pPr>
        <w:pStyle w:val="Caption"/>
        <w:rPr>
          <w:lang w:val="en-US"/>
        </w:rPr>
      </w:pPr>
      <w:r w:rsidRPr="00FF17EC">
        <w:rPr>
          <w:lang w:val="en-US"/>
        </w:rPr>
        <w:t xml:space="preserve">Graph </w:t>
      </w:r>
      <w:r w:rsidR="00C77390" w:rsidRPr="00FF17EC">
        <w:t>5</w:t>
      </w:r>
      <w:r w:rsidRPr="00FF17EC">
        <w:rPr>
          <w:lang w:val="en-US"/>
        </w:rPr>
        <w:noBreakHyphen/>
      </w:r>
      <w:r w:rsidR="007D1DDB" w:rsidRPr="00FF17EC">
        <w:t>3</w:t>
      </w:r>
      <w:r w:rsidRPr="00FF17EC">
        <w:rPr>
          <w:lang w:val="en-US"/>
        </w:rPr>
        <w:t xml:space="preserve"> Unemployment rates (unemployed /1000 inhabitants)</w:t>
      </w:r>
    </w:p>
    <w:p w:rsidR="00EF56CA" w:rsidRPr="00FF17EC" w:rsidRDefault="00EF56CA" w:rsidP="00EF56CA">
      <w:pPr>
        <w:rPr>
          <w:noProof/>
          <w:lang w:eastAsia="it-IT"/>
        </w:rPr>
      </w:pPr>
      <w:r w:rsidRPr="00FF17EC">
        <w:rPr>
          <w:noProof/>
          <w:lang w:eastAsia="it-IT"/>
        </w:rPr>
        <w:t xml:space="preserve">In Serbia the crisis in 2008 led to the interruption of the positive trend of the last 4 years, and to the stagnation of the unemployment in the next years. In Romania the crisis led to an immediate,dramatic impact of the crisis, but the recovery was very fast, leading in 2012 to a level lower then that observed before the crisis. </w:t>
      </w:r>
    </w:p>
    <w:p w:rsidR="00EF56CA" w:rsidRPr="00FF17EC" w:rsidRDefault="00EF56CA" w:rsidP="007D1DDB">
      <w:pPr>
        <w:keepNext/>
        <w:keepLines/>
      </w:pPr>
      <w:r w:rsidRPr="00FF17EC">
        <w:rPr>
          <w:noProof/>
          <w:lang w:eastAsia="en-GB"/>
        </w:rPr>
        <w:lastRenderedPageBreak/>
        <w:drawing>
          <wp:inline distT="0" distB="0" distL="0" distR="0">
            <wp:extent cx="4610100" cy="2796540"/>
            <wp:effectExtent l="19050" t="0" r="0" b="0"/>
            <wp:docPr id="1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srcRect/>
                    <a:stretch>
                      <a:fillRect/>
                    </a:stretch>
                  </pic:blipFill>
                  <pic:spPr bwMode="auto">
                    <a:xfrm>
                      <a:off x="0" y="0"/>
                      <a:ext cx="4610100" cy="2796540"/>
                    </a:xfrm>
                    <a:prstGeom prst="rect">
                      <a:avLst/>
                    </a:prstGeom>
                    <a:noFill/>
                  </pic:spPr>
                </pic:pic>
              </a:graphicData>
            </a:graphic>
          </wp:inline>
        </w:drawing>
      </w:r>
    </w:p>
    <w:p w:rsidR="00EF56CA" w:rsidRPr="00FF17EC" w:rsidRDefault="00EF56CA" w:rsidP="00EF56CA">
      <w:pPr>
        <w:pStyle w:val="Caption"/>
        <w:rPr>
          <w:lang w:val="en-US"/>
        </w:rPr>
      </w:pPr>
      <w:r w:rsidRPr="00FF17EC">
        <w:t xml:space="preserve">Graph </w:t>
      </w:r>
      <w:r w:rsidR="00C77390" w:rsidRPr="00FF17EC">
        <w:t>5</w:t>
      </w:r>
      <w:r w:rsidRPr="00FF17EC">
        <w:noBreakHyphen/>
      </w:r>
      <w:r w:rsidR="007D1DDB" w:rsidRPr="00FF17EC">
        <w:t>4</w:t>
      </w:r>
      <w:r w:rsidRPr="00FF17EC">
        <w:t xml:space="preserve"> </w:t>
      </w:r>
      <w:r w:rsidRPr="00FF17EC">
        <w:rPr>
          <w:lang w:val="en-US"/>
        </w:rPr>
        <w:t>Unemployment rates (unemployed /1000 inhabitants)</w:t>
      </w:r>
    </w:p>
    <w:p w:rsidR="00EF56CA" w:rsidRPr="00FF17EC" w:rsidRDefault="00EF56CA" w:rsidP="00EF56CA">
      <w:pPr>
        <w:rPr>
          <w:noProof/>
          <w:lang w:eastAsia="it-IT"/>
        </w:rPr>
      </w:pPr>
      <w:r w:rsidRPr="00FF17EC">
        <w:rPr>
          <w:noProof/>
          <w:lang w:eastAsia="it-IT"/>
        </w:rPr>
        <w:t>Unemployment among women is relatively homogenous in the eligible area, women represent roughly 50% of unemployed, slightly less then that in Serbia,slightly more in Romania.</w:t>
      </w:r>
    </w:p>
    <w:p w:rsidR="001D1F06" w:rsidRPr="00FF17EC" w:rsidRDefault="001D1F06" w:rsidP="00EF56CA">
      <w:pPr>
        <w:rPr>
          <w:noProof/>
          <w:lang w:eastAsia="it-IT"/>
        </w:rPr>
      </w:pPr>
      <w:r w:rsidRPr="00FF17EC">
        <w:rPr>
          <w:noProof/>
          <w:lang w:eastAsia="en-GB"/>
        </w:rPr>
        <w:drawing>
          <wp:inline distT="0" distB="0" distL="0" distR="0">
            <wp:extent cx="4572000" cy="3095625"/>
            <wp:effectExtent l="0" t="0" r="19050" b="95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F56CA" w:rsidRPr="00FF17EC" w:rsidRDefault="00EF56CA" w:rsidP="001D1F06">
      <w:pPr>
        <w:keepNext/>
        <w:keepLines/>
        <w:rPr>
          <w:b/>
          <w:noProof/>
          <w:sz w:val="24"/>
          <w:szCs w:val="24"/>
          <w:lang w:eastAsia="it-IT"/>
        </w:rPr>
      </w:pPr>
      <w:r w:rsidRPr="00FF17EC">
        <w:rPr>
          <w:b/>
          <w:sz w:val="24"/>
          <w:szCs w:val="24"/>
        </w:rPr>
        <w:t xml:space="preserve">Graph </w:t>
      </w:r>
      <w:r w:rsidR="00C77390" w:rsidRPr="00FF17EC">
        <w:rPr>
          <w:b/>
          <w:sz w:val="24"/>
          <w:szCs w:val="24"/>
        </w:rPr>
        <w:t>5</w:t>
      </w:r>
      <w:r w:rsidRPr="00FF17EC">
        <w:rPr>
          <w:b/>
          <w:sz w:val="24"/>
          <w:szCs w:val="24"/>
        </w:rPr>
        <w:noBreakHyphen/>
      </w:r>
      <w:r w:rsidR="007D1DDB" w:rsidRPr="00FF17EC">
        <w:rPr>
          <w:b/>
          <w:sz w:val="24"/>
          <w:szCs w:val="24"/>
        </w:rPr>
        <w:t>5</w:t>
      </w:r>
      <w:r w:rsidRPr="00FF17EC">
        <w:rPr>
          <w:b/>
          <w:sz w:val="24"/>
          <w:szCs w:val="24"/>
        </w:rPr>
        <w:t xml:space="preserve"> Unemployment rate among women 2011 NIS Serbia and Romania </w:t>
      </w:r>
    </w:p>
    <w:p w:rsidR="00EF56CA" w:rsidRPr="00FF17EC" w:rsidRDefault="00EF56CA" w:rsidP="007D1DDB">
      <w:pPr>
        <w:pStyle w:val="Caption"/>
        <w:keepNext w:val="0"/>
      </w:pPr>
    </w:p>
    <w:p w:rsidR="00EF56CA" w:rsidRPr="00FF17EC" w:rsidRDefault="00EF56CA" w:rsidP="00EF56CA">
      <w:pPr>
        <w:rPr>
          <w:noProof/>
          <w:lang w:eastAsia="it-IT"/>
        </w:rPr>
      </w:pPr>
      <w:r w:rsidRPr="00FF17EC">
        <w:rPr>
          <w:noProof/>
          <w:lang w:eastAsia="it-IT"/>
        </w:rPr>
        <w:lastRenderedPageBreak/>
        <w:t>Urban/rural differentiation in unemployment are relevant. In the most remote-rural regions like Mehedinti, unemployment is higher, and employment rate is lower.</w:t>
      </w:r>
      <w:r w:rsidR="00634723" w:rsidRPr="00FF17EC">
        <w:rPr>
          <w:noProof/>
          <w:lang w:eastAsia="it-IT"/>
        </w:rPr>
        <w:t xml:space="preserve"> </w:t>
      </w:r>
    </w:p>
    <w:p w:rsidR="00EF56CA" w:rsidRPr="00FF17EC" w:rsidRDefault="00EF56CA" w:rsidP="00EF56CA">
      <w:pPr>
        <w:rPr>
          <w:lang w:eastAsia="it-IT"/>
        </w:rPr>
      </w:pPr>
      <w:r w:rsidRPr="00FF17EC">
        <w:rPr>
          <w:lang w:eastAsia="it-IT"/>
        </w:rPr>
        <w:t>Unemployment among young people is dramatically high, according to national estimations, in Serbia unemployment among people 14-25 years old is 42%, in Romania less th</w:t>
      </w:r>
      <w:r w:rsidR="00D93903" w:rsidRPr="00FF17EC">
        <w:rPr>
          <w:lang w:eastAsia="it-IT"/>
        </w:rPr>
        <w:t>a</w:t>
      </w:r>
      <w:r w:rsidRPr="00FF17EC">
        <w:rPr>
          <w:lang w:eastAsia="it-IT"/>
        </w:rPr>
        <w:t>n half, 20,08%</w:t>
      </w:r>
      <w:r w:rsidRPr="00FF17EC">
        <w:rPr>
          <w:rStyle w:val="FootnoteReference"/>
          <w:lang w:eastAsia="it-IT"/>
        </w:rPr>
        <w:footnoteReference w:id="24"/>
      </w:r>
      <w:r w:rsidRPr="00FF17EC">
        <w:rPr>
          <w:lang w:eastAsia="it-IT"/>
        </w:rPr>
        <w:t>.</w:t>
      </w:r>
    </w:p>
    <w:p w:rsidR="00EF56CA" w:rsidRPr="00FF17EC" w:rsidRDefault="00EF56CA" w:rsidP="00EF56CA">
      <w:pPr>
        <w:rPr>
          <w:noProof/>
          <w:lang w:eastAsia="it-IT"/>
        </w:rPr>
      </w:pPr>
      <w:r w:rsidRPr="00FF17EC">
        <w:rPr>
          <w:noProof/>
          <w:lang w:eastAsia="it-IT"/>
        </w:rPr>
        <w:t>Access to labor market of disadvantaged groups, in particular Roma groups, is difficult, and unemployment among them is higher.</w:t>
      </w:r>
    </w:p>
    <w:p w:rsidR="007D1DDB" w:rsidRPr="00FF17EC" w:rsidRDefault="007D1DDB" w:rsidP="00EF56CA">
      <w:pPr>
        <w:rPr>
          <w:noProof/>
          <w:lang w:eastAsia="it-IT"/>
        </w:rPr>
      </w:pPr>
    </w:p>
    <w:p w:rsidR="00EF56CA" w:rsidRPr="00FF17EC" w:rsidRDefault="00EF56CA" w:rsidP="00532FCF">
      <w:pPr>
        <w:pStyle w:val="Heading2"/>
        <w:rPr>
          <w:noProof/>
          <w:lang w:val="en-US" w:eastAsia="it-IT"/>
        </w:rPr>
      </w:pPr>
      <w:bookmarkStart w:id="66" w:name="_Toc383415710"/>
      <w:r w:rsidRPr="00FF17EC">
        <w:rPr>
          <w:noProof/>
          <w:lang w:val="en-US" w:eastAsia="it-IT"/>
        </w:rPr>
        <w:t>Education, entrepreneurial development</w:t>
      </w:r>
      <w:r w:rsidR="00634723" w:rsidRPr="00FF17EC">
        <w:rPr>
          <w:noProof/>
          <w:lang w:val="en-US" w:eastAsia="it-IT"/>
        </w:rPr>
        <w:t xml:space="preserve"> </w:t>
      </w:r>
      <w:r w:rsidRPr="00FF17EC">
        <w:rPr>
          <w:noProof/>
          <w:lang w:val="en-US" w:eastAsia="it-IT"/>
        </w:rPr>
        <w:t>and access to labor market.</w:t>
      </w:r>
      <w:bookmarkEnd w:id="66"/>
    </w:p>
    <w:p w:rsidR="00013F0C" w:rsidRPr="00FF17EC" w:rsidRDefault="00013F0C" w:rsidP="00013F0C">
      <w:pPr>
        <w:rPr>
          <w:lang w:val="en-US" w:eastAsia="it-IT"/>
        </w:rPr>
      </w:pPr>
    </w:p>
    <w:p w:rsidR="00EF56CA" w:rsidRPr="00FF17EC" w:rsidRDefault="00FF17EC" w:rsidP="00EF56CA">
      <w:pPr>
        <w:keepNext/>
      </w:pPr>
      <w:r w:rsidRPr="00FF17EC">
        <w:rPr>
          <w:noProof/>
          <w:lang w:eastAsia="en-GB"/>
        </w:rPr>
        <w:drawing>
          <wp:inline distT="0" distB="0" distL="0" distR="0">
            <wp:extent cx="4147509" cy="3148642"/>
            <wp:effectExtent l="19050" t="0" r="24441" b="0"/>
            <wp:docPr id="21" name="Gra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F17EC" w:rsidRPr="00FF17EC" w:rsidRDefault="00EF56CA" w:rsidP="00FF17EC">
      <w:pPr>
        <w:pStyle w:val="Caption"/>
      </w:pPr>
      <w:r w:rsidRPr="00FF17EC">
        <w:t xml:space="preserve">Graph </w:t>
      </w:r>
      <w:r w:rsidR="00C77390" w:rsidRPr="00FF17EC">
        <w:t>5</w:t>
      </w:r>
      <w:r w:rsidRPr="00FF17EC">
        <w:noBreakHyphen/>
      </w:r>
      <w:r w:rsidR="00C77390" w:rsidRPr="00FF17EC">
        <w:t>6</w:t>
      </w:r>
      <w:r w:rsidRPr="00FF17EC">
        <w:t xml:space="preserve"> Impact of education on unemployment 2012</w:t>
      </w:r>
      <w:r w:rsidR="00FF17EC" w:rsidRPr="00FF17EC">
        <w:t xml:space="preserve">. </w:t>
      </w:r>
      <w:r w:rsidRPr="00FF17EC">
        <w:t xml:space="preserve"> </w:t>
      </w:r>
      <w:r w:rsidR="00FF17EC" w:rsidRPr="00FF17EC">
        <w:t xml:space="preserve">(Source: </w:t>
      </w:r>
      <w:r w:rsidRPr="00FF17EC">
        <w:t>NIS</w:t>
      </w:r>
      <w:r w:rsidR="00FF17EC" w:rsidRPr="00FF17EC">
        <w:t xml:space="preserve"> Serbia Romania</w:t>
      </w:r>
      <w:r w:rsidRPr="00FF17EC">
        <w:t xml:space="preserve"> data.</w:t>
      </w:r>
    </w:p>
    <w:p w:rsidR="00EF56CA" w:rsidRPr="00FF17EC" w:rsidRDefault="00EF56CA" w:rsidP="00EF56CA">
      <w:r w:rsidRPr="00FF17EC">
        <w:t xml:space="preserve">An horizontal analysis in the eligible area leads to identify a substantial impact of education attainment on the risk of unemployment. According to a very simple statistical indicator, the </w:t>
      </w:r>
      <w:r w:rsidRPr="00FF17EC">
        <w:lastRenderedPageBreak/>
        <w:t>level of educational attainment of the population can explain 35% of the differences in the unemployment rate.</w:t>
      </w:r>
    </w:p>
    <w:p w:rsidR="00EF56CA" w:rsidRPr="00FF17EC" w:rsidRDefault="00EF56CA" w:rsidP="00EF56CA">
      <w:r w:rsidRPr="00FF17EC">
        <w:t xml:space="preserve">The counties and districts in the south east of the area are those lagging behind, specially for the share of population with university degree. </w:t>
      </w:r>
    </w:p>
    <w:p w:rsidR="00EF56CA" w:rsidRPr="00FF17EC" w:rsidRDefault="00EF56CA" w:rsidP="00EF56CA">
      <w:r w:rsidRPr="00FF17EC">
        <w:t>A second factor that shows a significant correlation with the labor market dynamics and equilibrium is that of entrepreneurship. The density of SMEs has an impact on economic development, activity rates, unemployment.</w:t>
      </w:r>
    </w:p>
    <w:p w:rsidR="00EF56CA" w:rsidRPr="00FF17EC" w:rsidRDefault="00EF56CA" w:rsidP="00EF56CA">
      <w:r w:rsidRPr="00FF17EC">
        <w:t xml:space="preserve">The quantitative growth of SMEs has been generated by different dynamics of the economic and social structures in the regions, and has produced a substantial impact on the labour market. </w:t>
      </w:r>
    </w:p>
    <w:p w:rsidR="00EF56CA" w:rsidRPr="00FF17EC" w:rsidRDefault="00EF56CA" w:rsidP="00EF56CA">
      <w:r w:rsidRPr="00FF17EC">
        <w:t>As observed in the previous chapter the density of all SMEs (from 1 to 250 employee) is now much higher than a decade ago, and relatively homogenous in the eligible area. However, the class is so large that the indicator is not sufficiently homogenous to identify its impact on the labor market</w:t>
      </w:r>
    </w:p>
    <w:p w:rsidR="00EF56CA" w:rsidRPr="00FF17EC" w:rsidRDefault="00EF56CA" w:rsidP="00EF56CA">
      <w:r w:rsidRPr="00FF17EC">
        <w:t xml:space="preserve">The class of enterprises that seem to play the most significant role in the labour market is that of the small enterprises those with a number of employee between 10 and 50. </w:t>
      </w:r>
    </w:p>
    <w:p w:rsidR="00EF56CA" w:rsidRPr="00FF17EC" w:rsidRDefault="00EF56CA" w:rsidP="00EF56CA">
      <w:r w:rsidRPr="00FF17EC">
        <w:t xml:space="preserve">In fact, as described by the graph below, the relation between the density of small enterprises (number /1000 of inhabitants), and unemployment rates is particularly significant. </w:t>
      </w:r>
    </w:p>
    <w:p w:rsidR="00EF56CA" w:rsidRPr="00FF17EC" w:rsidRDefault="00EF56CA" w:rsidP="00EF56CA">
      <w:r w:rsidRPr="00FF17EC">
        <w:t>According to the indicators in 2012</w:t>
      </w:r>
      <w:r w:rsidR="00634723" w:rsidRPr="00FF17EC">
        <w:t xml:space="preserve"> </w:t>
      </w:r>
      <w:r w:rsidRPr="00FF17EC">
        <w:t>in the eligible area, the density of small enterprises can explain up to 57% of the unemployment differences.</w:t>
      </w:r>
    </w:p>
    <w:p w:rsidR="00EF56CA" w:rsidRPr="00FF17EC" w:rsidRDefault="00EF56CA" w:rsidP="00EF56CA"/>
    <w:p w:rsidR="00EF56CA" w:rsidRPr="00FF17EC" w:rsidRDefault="00EF56CA" w:rsidP="00EF56CA">
      <w:r w:rsidRPr="00FF17EC" w:rsidDel="00A55AAE">
        <w:t xml:space="preserve"> </w:t>
      </w:r>
    </w:p>
    <w:p w:rsidR="00532FCF" w:rsidRPr="00FF17EC" w:rsidRDefault="00532FCF" w:rsidP="00EF56CA">
      <w:r w:rsidRPr="00FF17EC">
        <w:rPr>
          <w:noProof/>
          <w:lang w:eastAsia="en-GB"/>
        </w:rPr>
        <w:lastRenderedPageBreak/>
        <w:drawing>
          <wp:inline distT="0" distB="0" distL="0" distR="0">
            <wp:extent cx="4162221" cy="3259515"/>
            <wp:effectExtent l="19050" t="0" r="9729" b="0"/>
            <wp:docPr id="15"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EF56CA" w:rsidRPr="00FF17EC" w:rsidRDefault="00EF56CA" w:rsidP="00EF56CA">
      <w:pPr>
        <w:pStyle w:val="Caption"/>
      </w:pPr>
      <w:r w:rsidRPr="00FF17EC">
        <w:t xml:space="preserve">Graph </w:t>
      </w:r>
      <w:r w:rsidR="00393059" w:rsidRPr="00FF17EC">
        <w:t>5</w:t>
      </w:r>
      <w:r w:rsidRPr="00FF17EC">
        <w:noBreakHyphen/>
      </w:r>
      <w:r w:rsidR="00393059" w:rsidRPr="00FF17EC">
        <w:t>7</w:t>
      </w:r>
      <w:r w:rsidRPr="00FF17EC">
        <w:t xml:space="preserve"> small enterprises density and impact on employment rates</w:t>
      </w:r>
      <w:r w:rsidR="00FF17EC" w:rsidRPr="00FF17EC">
        <w:t xml:space="preserve"> (source NIS Serbia and Romania, 2011)</w:t>
      </w:r>
    </w:p>
    <w:p w:rsidR="007D1DDB" w:rsidRPr="00FF17EC" w:rsidRDefault="007D1DDB" w:rsidP="007D1DDB"/>
    <w:p w:rsidR="00EF56CA" w:rsidRPr="00FF17EC" w:rsidRDefault="00EF56CA" w:rsidP="00EF56CA">
      <w:pPr>
        <w:pStyle w:val="Heading3"/>
      </w:pPr>
      <w:r w:rsidRPr="00FF17EC">
        <w:t>Potential for cross border cooperation in the labour Market</w:t>
      </w:r>
    </w:p>
    <w:p w:rsidR="00EF56CA" w:rsidRPr="00FF17EC" w:rsidRDefault="00EF56CA" w:rsidP="00EF56CA">
      <w:r w:rsidRPr="00FF17EC">
        <w:t xml:space="preserve"> Ccording to the analysis presented in the previous chapter, the main field of cooperation, based on common needs and challenges, are those of the promotion of access to higher education, promotion of access to the labour market in rural and remote areas, and by disadvantaged groups, capacity building of innovative skills for work forces demanded in particular by microenterprises. </w:t>
      </w:r>
    </w:p>
    <w:p w:rsidR="00EF56CA" w:rsidRPr="00FF17EC" w:rsidRDefault="00EF56CA" w:rsidP="00EF56CA">
      <w:r w:rsidRPr="00FF17EC">
        <w:t xml:space="preserve">In the previous programming period few projects addressed the challenge, but some examples of cooperation between university institutions can be mentioned. A stronger involvement of instutions active in the areas of adult and vocational education could be promoted. </w:t>
      </w:r>
    </w:p>
    <w:p w:rsidR="007D1DDB" w:rsidRPr="00FF17EC" w:rsidRDefault="007D1DDB" w:rsidP="00EF56CA"/>
    <w:p w:rsidR="00EF56CA" w:rsidRPr="00FF17EC" w:rsidRDefault="00EF56CA" w:rsidP="00EF56CA">
      <w:pPr>
        <w:pStyle w:val="Heading2"/>
      </w:pPr>
      <w:bookmarkStart w:id="67" w:name="_Toc378857144"/>
      <w:bookmarkStart w:id="68" w:name="_Toc383354410"/>
      <w:bookmarkStart w:id="69" w:name="_Toc383415711"/>
      <w:r w:rsidRPr="00FF17EC">
        <w:lastRenderedPageBreak/>
        <w:t>Social inclusion and Poverty</w:t>
      </w:r>
      <w:bookmarkEnd w:id="67"/>
      <w:bookmarkEnd w:id="68"/>
      <w:bookmarkEnd w:id="69"/>
    </w:p>
    <w:p w:rsidR="00EF56CA" w:rsidRPr="00FF17EC" w:rsidRDefault="00EF56CA" w:rsidP="00EF56CA">
      <w:r w:rsidRPr="00FF17EC">
        <w:t xml:space="preserve">The eligible area faces serious problems of social inclusion and poverty. In particular, in the remote rural areas a relevant share of population experience problems of access to the essential goods and basic services. The strong differences in the concentration of economic activities, unemployment, productivity of rural resources, remoteness of territories, generates strong dualism of poverty rates in the area. </w:t>
      </w:r>
    </w:p>
    <w:p w:rsidR="00EF56CA" w:rsidRPr="00FF17EC" w:rsidRDefault="00EF56CA" w:rsidP="00EF56CA">
      <w:r w:rsidRPr="00FF17EC">
        <w:t xml:space="preserve">In Romania and Serbia the share of population at risk of poverty is among the highest compared to the average level in Europe, and also among the new European members. The national data signal a decline in the last years, but the rate is still above 20% in both countries. </w:t>
      </w:r>
    </w:p>
    <w:tbl>
      <w:tblPr>
        <w:tblW w:w="4324" w:type="pct"/>
        <w:tblInd w:w="472" w:type="dxa"/>
        <w:tblCellMar>
          <w:left w:w="70" w:type="dxa"/>
          <w:right w:w="70" w:type="dxa"/>
        </w:tblCellMar>
        <w:tblLook w:val="04A0" w:firstRow="1" w:lastRow="0" w:firstColumn="1" w:lastColumn="0" w:noHBand="0" w:noVBand="1"/>
      </w:tblPr>
      <w:tblGrid>
        <w:gridCol w:w="2495"/>
        <w:gridCol w:w="958"/>
        <w:gridCol w:w="960"/>
        <w:gridCol w:w="958"/>
        <w:gridCol w:w="958"/>
        <w:gridCol w:w="960"/>
        <w:gridCol w:w="844"/>
      </w:tblGrid>
      <w:tr w:rsidR="004B16D4" w:rsidRPr="00FF17EC" w:rsidTr="004B16D4">
        <w:trPr>
          <w:trHeight w:hRule="exact" w:val="300"/>
        </w:trPr>
        <w:tc>
          <w:tcPr>
            <w:tcW w:w="1534" w:type="pct"/>
            <w:tcBorders>
              <w:top w:val="nil"/>
              <w:left w:val="nil"/>
              <w:bottom w:val="single" w:sz="4" w:space="0" w:color="auto"/>
              <w:right w:val="nil"/>
            </w:tcBorders>
            <w:shd w:val="clear" w:color="auto" w:fill="auto"/>
          </w:tcPr>
          <w:p w:rsidR="004B16D4" w:rsidRPr="00FF17EC" w:rsidRDefault="004B16D4" w:rsidP="006433A2">
            <w:pPr>
              <w:jc w:val="right"/>
              <w:rPr>
                <w:lang w:val="en-US" w:eastAsia="it-IT"/>
              </w:rPr>
            </w:pPr>
          </w:p>
        </w:tc>
        <w:tc>
          <w:tcPr>
            <w:tcW w:w="589" w:type="pct"/>
            <w:tcBorders>
              <w:top w:val="nil"/>
              <w:left w:val="nil"/>
              <w:bottom w:val="single" w:sz="4" w:space="0" w:color="auto"/>
              <w:right w:val="nil"/>
            </w:tcBorders>
            <w:shd w:val="clear" w:color="auto" w:fill="auto"/>
          </w:tcPr>
          <w:p w:rsidR="004B16D4" w:rsidRPr="00FF17EC" w:rsidRDefault="004B16D4" w:rsidP="00F84DAF">
            <w:pPr>
              <w:ind w:firstLine="16"/>
              <w:jc w:val="center"/>
              <w:rPr>
                <w:lang w:val="it-IT" w:eastAsia="it-IT"/>
              </w:rPr>
            </w:pPr>
            <w:r w:rsidRPr="00FF17EC">
              <w:rPr>
                <w:lang w:eastAsia="it-IT"/>
              </w:rPr>
              <w:t>2007</w:t>
            </w:r>
          </w:p>
        </w:tc>
        <w:tc>
          <w:tcPr>
            <w:tcW w:w="590" w:type="pct"/>
            <w:tcBorders>
              <w:top w:val="nil"/>
              <w:left w:val="nil"/>
              <w:bottom w:val="single" w:sz="4" w:space="0" w:color="auto"/>
              <w:right w:val="nil"/>
            </w:tcBorders>
            <w:shd w:val="clear" w:color="auto" w:fill="auto"/>
          </w:tcPr>
          <w:p w:rsidR="004B16D4" w:rsidRPr="00FF17EC" w:rsidRDefault="004B16D4" w:rsidP="00F84DAF">
            <w:pPr>
              <w:ind w:firstLine="16"/>
              <w:jc w:val="center"/>
              <w:rPr>
                <w:lang w:val="it-IT" w:eastAsia="it-IT"/>
              </w:rPr>
            </w:pPr>
            <w:r w:rsidRPr="00FF17EC">
              <w:rPr>
                <w:lang w:eastAsia="it-IT"/>
              </w:rPr>
              <w:t>2008</w:t>
            </w:r>
          </w:p>
        </w:tc>
        <w:tc>
          <w:tcPr>
            <w:tcW w:w="589" w:type="pct"/>
            <w:tcBorders>
              <w:top w:val="nil"/>
              <w:left w:val="nil"/>
              <w:bottom w:val="single" w:sz="4" w:space="0" w:color="auto"/>
              <w:right w:val="nil"/>
            </w:tcBorders>
            <w:shd w:val="clear" w:color="auto" w:fill="auto"/>
          </w:tcPr>
          <w:p w:rsidR="004B16D4" w:rsidRPr="00FF17EC" w:rsidRDefault="004B16D4" w:rsidP="00F84DAF">
            <w:pPr>
              <w:ind w:firstLine="16"/>
              <w:jc w:val="center"/>
              <w:rPr>
                <w:lang w:val="it-IT" w:eastAsia="it-IT"/>
              </w:rPr>
            </w:pPr>
            <w:r w:rsidRPr="00FF17EC">
              <w:rPr>
                <w:lang w:eastAsia="it-IT"/>
              </w:rPr>
              <w:t>2009</w:t>
            </w:r>
          </w:p>
        </w:tc>
        <w:tc>
          <w:tcPr>
            <w:tcW w:w="589" w:type="pct"/>
            <w:tcBorders>
              <w:top w:val="nil"/>
              <w:left w:val="nil"/>
              <w:bottom w:val="single" w:sz="4" w:space="0" w:color="auto"/>
              <w:right w:val="nil"/>
            </w:tcBorders>
            <w:shd w:val="clear" w:color="auto" w:fill="auto"/>
          </w:tcPr>
          <w:p w:rsidR="004B16D4" w:rsidRPr="00FF17EC" w:rsidRDefault="004B16D4" w:rsidP="00F84DAF">
            <w:pPr>
              <w:ind w:firstLine="16"/>
              <w:jc w:val="center"/>
              <w:rPr>
                <w:lang w:val="it-IT" w:eastAsia="it-IT"/>
              </w:rPr>
            </w:pPr>
            <w:r w:rsidRPr="00FF17EC">
              <w:rPr>
                <w:lang w:eastAsia="it-IT"/>
              </w:rPr>
              <w:t>2010</w:t>
            </w:r>
          </w:p>
        </w:tc>
        <w:tc>
          <w:tcPr>
            <w:tcW w:w="590" w:type="pct"/>
            <w:tcBorders>
              <w:top w:val="nil"/>
              <w:left w:val="nil"/>
              <w:bottom w:val="single" w:sz="4" w:space="0" w:color="auto"/>
              <w:right w:val="nil"/>
            </w:tcBorders>
          </w:tcPr>
          <w:p w:rsidR="004B16D4" w:rsidRPr="00FF17EC" w:rsidRDefault="004B16D4" w:rsidP="00F84DAF">
            <w:pPr>
              <w:jc w:val="center"/>
              <w:rPr>
                <w:lang w:eastAsia="it-IT"/>
              </w:rPr>
            </w:pPr>
            <w:r w:rsidRPr="00FF17EC">
              <w:rPr>
                <w:lang w:eastAsia="it-IT"/>
              </w:rPr>
              <w:t>2011</w:t>
            </w:r>
          </w:p>
        </w:tc>
        <w:tc>
          <w:tcPr>
            <w:tcW w:w="519" w:type="pct"/>
            <w:tcBorders>
              <w:top w:val="nil"/>
              <w:left w:val="nil"/>
              <w:bottom w:val="single" w:sz="4" w:space="0" w:color="auto"/>
              <w:right w:val="nil"/>
            </w:tcBorders>
          </w:tcPr>
          <w:p w:rsidR="004B16D4" w:rsidRPr="00FF17EC" w:rsidRDefault="004B16D4" w:rsidP="00F84DAF">
            <w:pPr>
              <w:jc w:val="center"/>
              <w:rPr>
                <w:lang w:eastAsia="it-IT"/>
              </w:rPr>
            </w:pPr>
            <w:r w:rsidRPr="00FF17EC">
              <w:rPr>
                <w:lang w:eastAsia="it-IT"/>
              </w:rPr>
              <w:t>2012</w:t>
            </w:r>
          </w:p>
        </w:tc>
      </w:tr>
      <w:tr w:rsidR="004B16D4" w:rsidRPr="00FF17EC" w:rsidTr="004B16D4">
        <w:trPr>
          <w:trHeight w:hRule="exact" w:val="300"/>
        </w:trPr>
        <w:tc>
          <w:tcPr>
            <w:tcW w:w="1534" w:type="pct"/>
            <w:tcBorders>
              <w:top w:val="single" w:sz="4" w:space="0" w:color="auto"/>
              <w:left w:val="nil"/>
              <w:bottom w:val="nil"/>
              <w:right w:val="nil"/>
            </w:tcBorders>
            <w:shd w:val="clear" w:color="auto" w:fill="auto"/>
          </w:tcPr>
          <w:p w:rsidR="004B16D4" w:rsidRPr="00FF17EC" w:rsidRDefault="004B16D4" w:rsidP="00F84DAF">
            <w:pPr>
              <w:jc w:val="right"/>
              <w:rPr>
                <w:lang w:val="it-IT" w:eastAsia="it-IT"/>
              </w:rPr>
            </w:pPr>
            <w:r w:rsidRPr="00FF17EC">
              <w:rPr>
                <w:lang w:eastAsia="it-IT"/>
              </w:rPr>
              <w:t>European Union, 27</w:t>
            </w:r>
          </w:p>
        </w:tc>
        <w:tc>
          <w:tcPr>
            <w:tcW w:w="589" w:type="pct"/>
            <w:tcBorders>
              <w:top w:val="single" w:sz="4" w:space="0" w:color="auto"/>
              <w:left w:val="nil"/>
              <w:bottom w:val="nil"/>
              <w:right w:val="nil"/>
            </w:tcBorders>
            <w:shd w:val="clear" w:color="auto" w:fill="auto"/>
          </w:tcPr>
          <w:p w:rsidR="004B16D4" w:rsidRPr="00FF17EC" w:rsidRDefault="004B16D4" w:rsidP="00F84DAF">
            <w:pPr>
              <w:jc w:val="right"/>
              <w:rPr>
                <w:lang w:val="it-IT" w:eastAsia="it-IT"/>
              </w:rPr>
            </w:pPr>
            <w:r w:rsidRPr="00FF17EC">
              <w:rPr>
                <w:lang w:eastAsia="it-IT"/>
              </w:rPr>
              <w:t>16.5</w:t>
            </w:r>
          </w:p>
        </w:tc>
        <w:tc>
          <w:tcPr>
            <w:tcW w:w="590" w:type="pct"/>
            <w:tcBorders>
              <w:top w:val="single" w:sz="4" w:space="0" w:color="auto"/>
              <w:left w:val="nil"/>
              <w:bottom w:val="nil"/>
              <w:right w:val="nil"/>
            </w:tcBorders>
            <w:shd w:val="clear" w:color="auto" w:fill="auto"/>
          </w:tcPr>
          <w:p w:rsidR="004B16D4" w:rsidRPr="00FF17EC" w:rsidRDefault="004B16D4" w:rsidP="00F84DAF">
            <w:pPr>
              <w:jc w:val="right"/>
              <w:rPr>
                <w:lang w:val="it-IT" w:eastAsia="it-IT"/>
              </w:rPr>
            </w:pPr>
            <w:r w:rsidRPr="00FF17EC">
              <w:rPr>
                <w:lang w:eastAsia="it-IT"/>
              </w:rPr>
              <w:t>16.4</w:t>
            </w:r>
          </w:p>
        </w:tc>
        <w:tc>
          <w:tcPr>
            <w:tcW w:w="589" w:type="pct"/>
            <w:tcBorders>
              <w:top w:val="single" w:sz="4" w:space="0" w:color="auto"/>
              <w:left w:val="nil"/>
              <w:bottom w:val="nil"/>
              <w:right w:val="nil"/>
            </w:tcBorders>
            <w:shd w:val="clear" w:color="auto" w:fill="auto"/>
          </w:tcPr>
          <w:p w:rsidR="004B16D4" w:rsidRPr="00FF17EC" w:rsidRDefault="004B16D4" w:rsidP="00F84DAF">
            <w:pPr>
              <w:jc w:val="right"/>
              <w:rPr>
                <w:lang w:val="it-IT" w:eastAsia="it-IT"/>
              </w:rPr>
            </w:pPr>
            <w:r w:rsidRPr="00FF17EC">
              <w:rPr>
                <w:lang w:eastAsia="it-IT"/>
              </w:rPr>
              <w:t>16.3</w:t>
            </w:r>
          </w:p>
        </w:tc>
        <w:tc>
          <w:tcPr>
            <w:tcW w:w="589" w:type="pct"/>
            <w:tcBorders>
              <w:top w:val="single" w:sz="4" w:space="0" w:color="auto"/>
              <w:left w:val="nil"/>
              <w:bottom w:val="nil"/>
              <w:right w:val="nil"/>
            </w:tcBorders>
            <w:shd w:val="clear" w:color="auto" w:fill="auto"/>
          </w:tcPr>
          <w:p w:rsidR="004B16D4" w:rsidRPr="00FF17EC" w:rsidRDefault="004B16D4" w:rsidP="00F84DAF">
            <w:pPr>
              <w:jc w:val="right"/>
              <w:rPr>
                <w:lang w:val="it-IT" w:eastAsia="it-IT"/>
              </w:rPr>
            </w:pPr>
            <w:r w:rsidRPr="00FF17EC">
              <w:rPr>
                <w:lang w:eastAsia="it-IT"/>
              </w:rPr>
              <w:t>16.4</w:t>
            </w:r>
          </w:p>
        </w:tc>
        <w:tc>
          <w:tcPr>
            <w:tcW w:w="590" w:type="pct"/>
            <w:tcBorders>
              <w:top w:val="single" w:sz="4" w:space="0" w:color="auto"/>
              <w:left w:val="nil"/>
              <w:bottom w:val="nil"/>
              <w:right w:val="nil"/>
            </w:tcBorders>
          </w:tcPr>
          <w:p w:rsidR="004B16D4" w:rsidRPr="00FF17EC" w:rsidRDefault="004B16D4" w:rsidP="00F84DAF">
            <w:pPr>
              <w:jc w:val="right"/>
              <w:rPr>
                <w:lang w:eastAsia="it-IT"/>
              </w:rPr>
            </w:pPr>
            <w:r w:rsidRPr="00FF17EC">
              <w:rPr>
                <w:lang w:eastAsia="it-IT"/>
              </w:rPr>
              <w:t>11,9</w:t>
            </w:r>
          </w:p>
        </w:tc>
        <w:tc>
          <w:tcPr>
            <w:tcW w:w="519" w:type="pct"/>
            <w:tcBorders>
              <w:top w:val="single" w:sz="4" w:space="0" w:color="auto"/>
              <w:left w:val="nil"/>
              <w:bottom w:val="nil"/>
              <w:right w:val="nil"/>
            </w:tcBorders>
          </w:tcPr>
          <w:p w:rsidR="004B16D4" w:rsidRPr="00FF17EC" w:rsidRDefault="004B16D4" w:rsidP="00F84DAF">
            <w:pPr>
              <w:jc w:val="right"/>
              <w:rPr>
                <w:lang w:eastAsia="it-IT"/>
              </w:rPr>
            </w:pPr>
            <w:r w:rsidRPr="00FF17EC">
              <w:rPr>
                <w:lang w:eastAsia="it-IT"/>
              </w:rPr>
              <w:t>17,0</w:t>
            </w:r>
          </w:p>
        </w:tc>
      </w:tr>
      <w:tr w:rsidR="004B16D4" w:rsidRPr="00FF17EC" w:rsidTr="004B16D4">
        <w:trPr>
          <w:trHeight w:hRule="exact" w:val="300"/>
        </w:trPr>
        <w:tc>
          <w:tcPr>
            <w:tcW w:w="1534"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European Union, 15</w:t>
            </w:r>
          </w:p>
        </w:tc>
        <w:tc>
          <w:tcPr>
            <w:tcW w:w="589"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16.0</w:t>
            </w:r>
          </w:p>
        </w:tc>
        <w:tc>
          <w:tcPr>
            <w:tcW w:w="590"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16.2</w:t>
            </w:r>
          </w:p>
        </w:tc>
        <w:tc>
          <w:tcPr>
            <w:tcW w:w="589"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16.1</w:t>
            </w:r>
          </w:p>
        </w:tc>
        <w:tc>
          <w:tcPr>
            <w:tcW w:w="589"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16.2</w:t>
            </w:r>
          </w:p>
        </w:tc>
        <w:tc>
          <w:tcPr>
            <w:tcW w:w="590" w:type="pct"/>
            <w:tcBorders>
              <w:top w:val="nil"/>
              <w:left w:val="nil"/>
              <w:bottom w:val="nil"/>
              <w:right w:val="nil"/>
            </w:tcBorders>
          </w:tcPr>
          <w:p w:rsidR="004B16D4" w:rsidRPr="00FF17EC" w:rsidRDefault="004B16D4" w:rsidP="006433A2">
            <w:pPr>
              <w:jc w:val="right"/>
              <w:rPr>
                <w:lang w:eastAsia="it-IT"/>
              </w:rPr>
            </w:pPr>
          </w:p>
        </w:tc>
        <w:tc>
          <w:tcPr>
            <w:tcW w:w="519" w:type="pct"/>
            <w:tcBorders>
              <w:top w:val="nil"/>
              <w:left w:val="nil"/>
              <w:bottom w:val="nil"/>
              <w:right w:val="nil"/>
            </w:tcBorders>
          </w:tcPr>
          <w:p w:rsidR="004B16D4" w:rsidRPr="00FF17EC" w:rsidRDefault="004B16D4" w:rsidP="006433A2">
            <w:pPr>
              <w:jc w:val="right"/>
              <w:rPr>
                <w:lang w:eastAsia="it-IT"/>
              </w:rPr>
            </w:pPr>
          </w:p>
        </w:tc>
      </w:tr>
      <w:tr w:rsidR="004B16D4" w:rsidRPr="00FF17EC" w:rsidTr="004B16D4">
        <w:trPr>
          <w:trHeight w:hRule="exact" w:val="300"/>
        </w:trPr>
        <w:tc>
          <w:tcPr>
            <w:tcW w:w="1534"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New EU member states, 12</w:t>
            </w:r>
          </w:p>
        </w:tc>
        <w:tc>
          <w:tcPr>
            <w:tcW w:w="589"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18.2</w:t>
            </w:r>
          </w:p>
        </w:tc>
        <w:tc>
          <w:tcPr>
            <w:tcW w:w="590"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17.3</w:t>
            </w:r>
          </w:p>
        </w:tc>
        <w:tc>
          <w:tcPr>
            <w:tcW w:w="589"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17.1</w:t>
            </w:r>
          </w:p>
        </w:tc>
        <w:tc>
          <w:tcPr>
            <w:tcW w:w="589"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16.9</w:t>
            </w:r>
          </w:p>
        </w:tc>
        <w:tc>
          <w:tcPr>
            <w:tcW w:w="590" w:type="pct"/>
            <w:tcBorders>
              <w:top w:val="nil"/>
              <w:left w:val="nil"/>
              <w:bottom w:val="nil"/>
              <w:right w:val="nil"/>
            </w:tcBorders>
          </w:tcPr>
          <w:p w:rsidR="004B16D4" w:rsidRPr="00FF17EC" w:rsidRDefault="004B16D4" w:rsidP="006433A2">
            <w:pPr>
              <w:jc w:val="right"/>
              <w:rPr>
                <w:lang w:eastAsia="it-IT"/>
              </w:rPr>
            </w:pPr>
          </w:p>
        </w:tc>
        <w:tc>
          <w:tcPr>
            <w:tcW w:w="519" w:type="pct"/>
            <w:tcBorders>
              <w:top w:val="nil"/>
              <w:left w:val="nil"/>
              <w:bottom w:val="nil"/>
              <w:right w:val="nil"/>
            </w:tcBorders>
          </w:tcPr>
          <w:p w:rsidR="004B16D4" w:rsidRPr="00FF17EC" w:rsidRDefault="004B16D4" w:rsidP="006433A2">
            <w:pPr>
              <w:jc w:val="right"/>
              <w:rPr>
                <w:lang w:eastAsia="it-IT"/>
              </w:rPr>
            </w:pPr>
          </w:p>
        </w:tc>
      </w:tr>
      <w:tr w:rsidR="004B16D4" w:rsidRPr="00FF17EC" w:rsidTr="004B16D4">
        <w:trPr>
          <w:trHeight w:hRule="exact" w:val="300"/>
        </w:trPr>
        <w:tc>
          <w:tcPr>
            <w:tcW w:w="1534"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Romania</w:t>
            </w:r>
          </w:p>
        </w:tc>
        <w:tc>
          <w:tcPr>
            <w:tcW w:w="589"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24.8</w:t>
            </w:r>
          </w:p>
        </w:tc>
        <w:tc>
          <w:tcPr>
            <w:tcW w:w="590"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23.4</w:t>
            </w:r>
          </w:p>
        </w:tc>
        <w:tc>
          <w:tcPr>
            <w:tcW w:w="589"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22.4</w:t>
            </w:r>
          </w:p>
        </w:tc>
        <w:tc>
          <w:tcPr>
            <w:tcW w:w="589" w:type="pct"/>
            <w:tcBorders>
              <w:top w:val="nil"/>
              <w:left w:val="nil"/>
              <w:bottom w:val="nil"/>
              <w:right w:val="nil"/>
            </w:tcBorders>
            <w:shd w:val="clear" w:color="auto" w:fill="auto"/>
            <w:hideMark/>
          </w:tcPr>
          <w:p w:rsidR="004B16D4" w:rsidRPr="00FF17EC" w:rsidRDefault="004B16D4" w:rsidP="006433A2">
            <w:pPr>
              <w:jc w:val="right"/>
              <w:rPr>
                <w:lang w:val="it-IT" w:eastAsia="it-IT"/>
              </w:rPr>
            </w:pPr>
            <w:r w:rsidRPr="00FF17EC">
              <w:rPr>
                <w:lang w:eastAsia="it-IT"/>
              </w:rPr>
              <w:t>21.1</w:t>
            </w:r>
          </w:p>
        </w:tc>
        <w:tc>
          <w:tcPr>
            <w:tcW w:w="590" w:type="pct"/>
            <w:tcBorders>
              <w:top w:val="nil"/>
              <w:left w:val="nil"/>
              <w:bottom w:val="nil"/>
              <w:right w:val="nil"/>
            </w:tcBorders>
          </w:tcPr>
          <w:p w:rsidR="004B16D4" w:rsidRPr="00FF17EC" w:rsidRDefault="004B16D4" w:rsidP="006433A2">
            <w:pPr>
              <w:jc w:val="right"/>
              <w:rPr>
                <w:lang w:eastAsia="it-IT"/>
              </w:rPr>
            </w:pPr>
            <w:r w:rsidRPr="00FF17EC">
              <w:rPr>
                <w:lang w:eastAsia="it-IT"/>
              </w:rPr>
              <w:t>22,2</w:t>
            </w:r>
          </w:p>
        </w:tc>
        <w:tc>
          <w:tcPr>
            <w:tcW w:w="519" w:type="pct"/>
            <w:tcBorders>
              <w:top w:val="nil"/>
              <w:left w:val="nil"/>
              <w:bottom w:val="nil"/>
              <w:right w:val="nil"/>
            </w:tcBorders>
          </w:tcPr>
          <w:p w:rsidR="004B16D4" w:rsidRPr="00FF17EC" w:rsidRDefault="004B16D4" w:rsidP="006433A2">
            <w:pPr>
              <w:jc w:val="right"/>
              <w:rPr>
                <w:lang w:eastAsia="it-IT"/>
              </w:rPr>
            </w:pPr>
            <w:r w:rsidRPr="00FF17EC">
              <w:rPr>
                <w:lang w:eastAsia="it-IT"/>
              </w:rPr>
              <w:t>22,6</w:t>
            </w:r>
          </w:p>
        </w:tc>
      </w:tr>
      <w:tr w:rsidR="004B16D4" w:rsidRPr="00FF17EC" w:rsidTr="004B16D4">
        <w:trPr>
          <w:trHeight w:val="300"/>
        </w:trPr>
        <w:tc>
          <w:tcPr>
            <w:tcW w:w="1534" w:type="pct"/>
            <w:tcBorders>
              <w:top w:val="nil"/>
              <w:left w:val="nil"/>
              <w:bottom w:val="single" w:sz="4" w:space="0" w:color="auto"/>
              <w:right w:val="nil"/>
            </w:tcBorders>
            <w:shd w:val="clear" w:color="auto" w:fill="auto"/>
            <w:hideMark/>
          </w:tcPr>
          <w:p w:rsidR="004B16D4" w:rsidRPr="00FF17EC" w:rsidRDefault="004B16D4" w:rsidP="006433A2">
            <w:pPr>
              <w:jc w:val="right"/>
              <w:rPr>
                <w:lang w:val="it-IT" w:eastAsia="it-IT"/>
              </w:rPr>
            </w:pPr>
            <w:r w:rsidRPr="00FF17EC">
              <w:rPr>
                <w:lang w:eastAsia="it-IT"/>
              </w:rPr>
              <w:t>Serbia</w:t>
            </w:r>
          </w:p>
        </w:tc>
        <w:tc>
          <w:tcPr>
            <w:tcW w:w="589" w:type="pct"/>
            <w:tcBorders>
              <w:top w:val="nil"/>
              <w:left w:val="nil"/>
              <w:bottom w:val="single" w:sz="4" w:space="0" w:color="auto"/>
              <w:right w:val="nil"/>
            </w:tcBorders>
            <w:shd w:val="clear" w:color="auto" w:fill="auto"/>
            <w:hideMark/>
          </w:tcPr>
          <w:p w:rsidR="004B16D4" w:rsidRPr="00FF17EC" w:rsidRDefault="004B16D4" w:rsidP="006433A2">
            <w:pPr>
              <w:jc w:val="right"/>
              <w:rPr>
                <w:lang w:val="it-IT" w:eastAsia="it-IT"/>
              </w:rPr>
            </w:pPr>
            <w:r w:rsidRPr="00FF17EC">
              <w:rPr>
                <w:lang w:eastAsia="it-IT"/>
              </w:rPr>
              <w:t>22.8</w:t>
            </w:r>
          </w:p>
        </w:tc>
        <w:tc>
          <w:tcPr>
            <w:tcW w:w="590" w:type="pct"/>
            <w:tcBorders>
              <w:top w:val="nil"/>
              <w:left w:val="nil"/>
              <w:bottom w:val="single" w:sz="4" w:space="0" w:color="auto"/>
              <w:right w:val="nil"/>
            </w:tcBorders>
            <w:shd w:val="clear" w:color="auto" w:fill="auto"/>
            <w:hideMark/>
          </w:tcPr>
          <w:p w:rsidR="004B16D4" w:rsidRPr="00FF17EC" w:rsidRDefault="004B16D4" w:rsidP="006433A2">
            <w:pPr>
              <w:jc w:val="right"/>
              <w:rPr>
                <w:lang w:val="it-IT" w:eastAsia="it-IT"/>
              </w:rPr>
            </w:pPr>
            <w:r w:rsidRPr="00FF17EC">
              <w:rPr>
                <w:lang w:eastAsia="it-IT"/>
              </w:rPr>
              <w:t>20.2</w:t>
            </w:r>
          </w:p>
        </w:tc>
        <w:tc>
          <w:tcPr>
            <w:tcW w:w="589" w:type="pct"/>
            <w:tcBorders>
              <w:top w:val="nil"/>
              <w:left w:val="nil"/>
              <w:bottom w:val="single" w:sz="4" w:space="0" w:color="auto"/>
              <w:right w:val="nil"/>
            </w:tcBorders>
            <w:shd w:val="clear" w:color="auto" w:fill="auto"/>
            <w:hideMark/>
          </w:tcPr>
          <w:p w:rsidR="004B16D4" w:rsidRPr="00FF17EC" w:rsidRDefault="004B16D4" w:rsidP="006433A2">
            <w:pPr>
              <w:jc w:val="right"/>
              <w:rPr>
                <w:lang w:val="it-IT" w:eastAsia="it-IT"/>
              </w:rPr>
            </w:pPr>
            <w:r w:rsidRPr="00FF17EC">
              <w:rPr>
                <w:lang w:eastAsia="it-IT"/>
              </w:rPr>
              <w:t>21.2</w:t>
            </w:r>
          </w:p>
        </w:tc>
        <w:tc>
          <w:tcPr>
            <w:tcW w:w="589" w:type="pct"/>
            <w:tcBorders>
              <w:top w:val="nil"/>
              <w:left w:val="nil"/>
              <w:bottom w:val="single" w:sz="4" w:space="0" w:color="auto"/>
              <w:right w:val="nil"/>
            </w:tcBorders>
            <w:shd w:val="clear" w:color="auto" w:fill="auto"/>
            <w:hideMark/>
          </w:tcPr>
          <w:p w:rsidR="004B16D4" w:rsidRPr="00FF17EC" w:rsidRDefault="004B16D4" w:rsidP="006433A2">
            <w:pPr>
              <w:jc w:val="right"/>
              <w:rPr>
                <w:lang w:val="it-IT" w:eastAsia="it-IT"/>
              </w:rPr>
            </w:pPr>
            <w:r w:rsidRPr="00FF17EC">
              <w:rPr>
                <w:lang w:eastAsia="it-IT"/>
              </w:rPr>
              <w:t>20.6</w:t>
            </w:r>
          </w:p>
        </w:tc>
        <w:tc>
          <w:tcPr>
            <w:tcW w:w="590" w:type="pct"/>
            <w:tcBorders>
              <w:top w:val="nil"/>
              <w:left w:val="nil"/>
              <w:bottom w:val="single" w:sz="4" w:space="0" w:color="auto"/>
              <w:right w:val="nil"/>
            </w:tcBorders>
          </w:tcPr>
          <w:p w:rsidR="004B16D4" w:rsidRPr="00FF17EC" w:rsidRDefault="004B16D4" w:rsidP="006433A2">
            <w:pPr>
              <w:jc w:val="right"/>
              <w:rPr>
                <w:lang w:eastAsia="it-IT"/>
              </w:rPr>
            </w:pPr>
          </w:p>
        </w:tc>
        <w:tc>
          <w:tcPr>
            <w:tcW w:w="519" w:type="pct"/>
            <w:tcBorders>
              <w:top w:val="nil"/>
              <w:left w:val="nil"/>
              <w:bottom w:val="single" w:sz="4" w:space="0" w:color="auto"/>
              <w:right w:val="nil"/>
            </w:tcBorders>
          </w:tcPr>
          <w:p w:rsidR="004B16D4" w:rsidRPr="00FF17EC" w:rsidRDefault="004B16D4" w:rsidP="006433A2">
            <w:pPr>
              <w:jc w:val="right"/>
              <w:rPr>
                <w:lang w:eastAsia="it-IT"/>
              </w:rPr>
            </w:pPr>
          </w:p>
        </w:tc>
      </w:tr>
    </w:tbl>
    <w:p w:rsidR="00EF56CA" w:rsidRPr="00FF17EC" w:rsidRDefault="00EF56CA" w:rsidP="00EF56CA">
      <w:pPr>
        <w:ind w:left="426"/>
      </w:pPr>
      <w:r w:rsidRPr="00FF17EC">
        <w:t>Source: Eurostat and NIS Serbia.</w:t>
      </w:r>
    </w:p>
    <w:p w:rsidR="00EF56CA" w:rsidRPr="00FF17EC" w:rsidRDefault="00EF56CA" w:rsidP="00EF56CA">
      <w:pPr>
        <w:pStyle w:val="Caption"/>
        <w:rPr>
          <w:lang w:eastAsia="it-IT"/>
        </w:rPr>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5</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2</w:t>
      </w:r>
      <w:r w:rsidR="00085686" w:rsidRPr="00FF17EC">
        <w:rPr>
          <w:noProof/>
        </w:rPr>
        <w:fldChar w:fldCharType="end"/>
      </w:r>
      <w:r w:rsidR="00393059" w:rsidRPr="00FF17EC">
        <w:t xml:space="preserve"> </w:t>
      </w:r>
      <w:r w:rsidRPr="00FF17EC">
        <w:rPr>
          <w:lang w:eastAsia="it-IT"/>
        </w:rPr>
        <w:t>At-risk-of-poverty rate for the population, after social transfers, %</w:t>
      </w:r>
    </w:p>
    <w:p w:rsidR="00393059" w:rsidRPr="00FF17EC" w:rsidRDefault="00393059" w:rsidP="00EF56CA"/>
    <w:p w:rsidR="00EF56CA" w:rsidRPr="00FF17EC" w:rsidRDefault="00EF56CA" w:rsidP="00EF56CA">
      <w:r w:rsidRPr="00FF17EC">
        <w:t>The concentration of population at risk of poverty is higher in the rural areas and regions with lower activity rate and higher unemployment. In the eligible area all districts and counties are classified as rural, but the extension of the poverty and social exclusion problems is strongly heterogeneous.</w:t>
      </w:r>
    </w:p>
    <w:p w:rsidR="00EF56CA" w:rsidRPr="00FF17EC" w:rsidRDefault="00EF56CA" w:rsidP="00EF56CA">
      <w:r w:rsidRPr="00FF17EC">
        <w:t>Unfortunately comparable statistics are not complete at county and district level in the eligible area. The variability of local conditions can be estimated from different available variables. Other indicators, like the percentage of population below the absolute poverty line</w:t>
      </w:r>
      <w:r w:rsidRPr="00FF17EC">
        <w:rPr>
          <w:rStyle w:val="FootnoteReference"/>
        </w:rPr>
        <w:footnoteReference w:id="25"/>
      </w:r>
      <w:r w:rsidRPr="00FF17EC">
        <w:t>, are close to 10% at national level.</w:t>
      </w:r>
    </w:p>
    <w:p w:rsidR="00EF56CA" w:rsidRPr="00FF17EC" w:rsidRDefault="00EF56CA" w:rsidP="00EF56CA">
      <w:r w:rsidRPr="00FF17EC">
        <w:lastRenderedPageBreak/>
        <w:t xml:space="preserve"> According to the Poverty Map for Romania</w:t>
      </w:r>
      <w:r w:rsidRPr="00FF17EC">
        <w:rPr>
          <w:rStyle w:val="FootnoteReference"/>
          <w:sz w:val="20"/>
        </w:rPr>
        <w:footnoteReference w:id="26"/>
      </w:r>
      <w:r w:rsidRPr="00FF17EC">
        <w:t xml:space="preserve"> in the Timiș County, in the rural area, the poverty rate by county is roughly at 30%, the lowest rate in the West region. At county level the most deprived areas are: Barna, Ohaba Lunga and Pietroasa. </w:t>
      </w:r>
    </w:p>
    <w:p w:rsidR="00EF56CA" w:rsidRPr="00FF17EC" w:rsidRDefault="00EF56CA" w:rsidP="00EF56CA">
      <w:r w:rsidRPr="00FF17EC">
        <w:t xml:space="preserve">In Caraș Severin rural area, the poverty rate calculated at county is 44%, the highest rate in the West region. At county level the most deprived areas are: Cornereva, Prigor, Socol, Sopotu Nou and Ticvaniu Mare. </w:t>
      </w:r>
    </w:p>
    <w:p w:rsidR="00EF56CA" w:rsidRPr="00FF17EC" w:rsidRDefault="00EF56CA" w:rsidP="00EF56CA">
      <w:r w:rsidRPr="00FF17EC">
        <w:t xml:space="preserve">In Mehedinți county, in the rural area, the poverty rate by county is 54%, the highest rate in the region South West. At county level the most deprived areas are: Balta, Balvanești, Cazanești, Cireșu, Dumbrava, Godeanu, Husnicioara, Ilovat, Jiana, Padina, Podeni, Prunisor, Punghina, Tamna. </w:t>
      </w:r>
    </w:p>
    <w:p w:rsidR="00EF56CA" w:rsidRPr="00FF17EC" w:rsidRDefault="00EF56CA" w:rsidP="00EF56CA">
      <w:r w:rsidRPr="00FF17EC">
        <w:t>In Serbia, population poverty and poverty risks are estimated only at the level of regions. In the last year available, the percentage of population below the absolute poverty line is close to 9% at national level, with a minimum of 5% in Belgrade and a maximum of 12% in central Serbia. In Vojvodina in 2010 the percentage of population below the poverty rate was 6,8. Actually in recent years the percentage</w:t>
      </w:r>
      <w:r w:rsidR="00634723" w:rsidRPr="00FF17EC">
        <w:t xml:space="preserve"> </w:t>
      </w:r>
      <w:r w:rsidRPr="00FF17EC">
        <w:t>was extremely variable in Vojvodina, moving below and above the national average. In general, after the global crisis, absolute poverty increased in Serbia, in all regions.</w:t>
      </w:r>
    </w:p>
    <w:tbl>
      <w:tblPr>
        <w:tblStyle w:val="TableNormal1"/>
        <w:tblW w:w="5002" w:type="pct"/>
        <w:tblInd w:w="-2" w:type="dxa"/>
        <w:tblLook w:val="01E0" w:firstRow="1" w:lastRow="1" w:firstColumn="1" w:lastColumn="1" w:noHBand="0" w:noVBand="0"/>
      </w:tblPr>
      <w:tblGrid>
        <w:gridCol w:w="3286"/>
        <w:gridCol w:w="1332"/>
        <w:gridCol w:w="1332"/>
        <w:gridCol w:w="1220"/>
        <w:gridCol w:w="1114"/>
        <w:gridCol w:w="1112"/>
      </w:tblGrid>
      <w:tr w:rsidR="00EF56CA" w:rsidRPr="00FF17EC" w:rsidTr="006433A2">
        <w:trPr>
          <w:trHeight w:val="340"/>
        </w:trPr>
        <w:tc>
          <w:tcPr>
            <w:tcW w:w="1748" w:type="pct"/>
            <w:tcBorders>
              <w:top w:val="single" w:sz="4" w:space="0" w:color="auto"/>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p>
        </w:tc>
        <w:tc>
          <w:tcPr>
            <w:tcW w:w="709" w:type="pct"/>
            <w:tcBorders>
              <w:top w:val="single" w:sz="4" w:space="0" w:color="auto"/>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2006</w:t>
            </w:r>
          </w:p>
        </w:tc>
        <w:tc>
          <w:tcPr>
            <w:tcW w:w="709" w:type="pct"/>
            <w:tcBorders>
              <w:top w:val="single" w:sz="4" w:space="0" w:color="auto"/>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2</w:t>
            </w:r>
            <w:r w:rsidRPr="00FF17EC">
              <w:rPr>
                <w:spacing w:val="-5"/>
              </w:rPr>
              <w:t>0</w:t>
            </w:r>
            <w:r w:rsidRPr="00FF17EC">
              <w:t>07</w:t>
            </w:r>
          </w:p>
        </w:tc>
        <w:tc>
          <w:tcPr>
            <w:tcW w:w="649" w:type="pct"/>
            <w:tcBorders>
              <w:top w:val="single" w:sz="4" w:space="0" w:color="auto"/>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20</w:t>
            </w:r>
            <w:r w:rsidRPr="00FF17EC">
              <w:rPr>
                <w:spacing w:val="-5"/>
              </w:rPr>
              <w:t>0</w:t>
            </w:r>
            <w:r w:rsidRPr="00FF17EC">
              <w:t>8</w:t>
            </w:r>
          </w:p>
        </w:tc>
        <w:tc>
          <w:tcPr>
            <w:tcW w:w="593" w:type="pct"/>
            <w:tcBorders>
              <w:top w:val="single" w:sz="4" w:space="0" w:color="auto"/>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2009</w:t>
            </w:r>
          </w:p>
        </w:tc>
        <w:tc>
          <w:tcPr>
            <w:tcW w:w="592" w:type="pct"/>
            <w:tcBorders>
              <w:top w:val="single" w:sz="4" w:space="0" w:color="auto"/>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2010</w:t>
            </w:r>
          </w:p>
        </w:tc>
      </w:tr>
      <w:tr w:rsidR="00EF56CA" w:rsidRPr="00FF17EC" w:rsidTr="006433A2">
        <w:trPr>
          <w:trHeight w:val="340"/>
        </w:trPr>
        <w:tc>
          <w:tcPr>
            <w:tcW w:w="1748"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P</w:t>
            </w:r>
            <w:r w:rsidRPr="00FF17EC">
              <w:rPr>
                <w:spacing w:val="-5"/>
              </w:rPr>
              <w:t>ov</w:t>
            </w:r>
            <w:r w:rsidRPr="00FF17EC">
              <w:rPr>
                <w:spacing w:val="-3"/>
              </w:rPr>
              <w:t>e</w:t>
            </w:r>
            <w:r w:rsidRPr="00FF17EC">
              <w:rPr>
                <w:spacing w:val="-1"/>
              </w:rPr>
              <w:t>r</w:t>
            </w:r>
            <w:r w:rsidRPr="00FF17EC">
              <w:rPr>
                <w:spacing w:val="4"/>
              </w:rPr>
              <w:t>t</w:t>
            </w:r>
            <w:r w:rsidRPr="00FF17EC">
              <w:t>y</w:t>
            </w:r>
            <w:r w:rsidRPr="00FF17EC">
              <w:rPr>
                <w:spacing w:val="-10"/>
              </w:rPr>
              <w:t xml:space="preserve"> </w:t>
            </w:r>
            <w:r w:rsidRPr="00FF17EC">
              <w:t>li</w:t>
            </w:r>
            <w:r w:rsidRPr="00FF17EC">
              <w:rPr>
                <w:spacing w:val="1"/>
              </w:rPr>
              <w:t>n</w:t>
            </w:r>
            <w:r w:rsidRPr="00FF17EC">
              <w:rPr>
                <w:spacing w:val="-3"/>
              </w:rPr>
              <w:t>e</w:t>
            </w:r>
            <w:r w:rsidRPr="00FF17EC">
              <w:t xml:space="preserve"> in RSD (1000 Dinars):</w:t>
            </w:r>
            <w:r w:rsidRPr="00FF17EC">
              <w:rPr>
                <w:rFonts w:eastAsia="Times New Roman"/>
              </w:rPr>
              <w:t>RSD</w:t>
            </w:r>
            <w:r w:rsidRPr="00FF17EC">
              <w:t>/</w:t>
            </w:r>
            <w:r w:rsidRPr="00FF17EC">
              <w:rPr>
                <w:spacing w:val="-9"/>
              </w:rPr>
              <w:t>m</w:t>
            </w:r>
            <w:r w:rsidRPr="00FF17EC">
              <w:rPr>
                <w:spacing w:val="-5"/>
              </w:rPr>
              <w:t>o</w:t>
            </w:r>
            <w:r w:rsidRPr="00FF17EC">
              <w:rPr>
                <w:spacing w:val="1"/>
              </w:rPr>
              <w:t>n</w:t>
            </w:r>
            <w:r w:rsidRPr="00FF17EC">
              <w:t>t</w:t>
            </w:r>
            <w:r w:rsidRPr="00FF17EC">
              <w:rPr>
                <w:spacing w:val="1"/>
              </w:rPr>
              <w:t>h</w:t>
            </w:r>
            <w:r w:rsidRPr="00FF17EC">
              <w:t>/</w:t>
            </w:r>
            <w:r w:rsidRPr="00FF17EC">
              <w:rPr>
                <w:spacing w:val="-3"/>
              </w:rPr>
              <w:t>c</w:t>
            </w:r>
            <w:r w:rsidRPr="00FF17EC">
              <w:rPr>
                <w:spacing w:val="-5"/>
              </w:rPr>
              <w:t>on</w:t>
            </w:r>
            <w:r w:rsidRPr="00FF17EC">
              <w:rPr>
                <w:spacing w:val="-2"/>
              </w:rPr>
              <w:t>s</w:t>
            </w:r>
            <w:r w:rsidRPr="00FF17EC">
              <w:rPr>
                <w:spacing w:val="6"/>
              </w:rPr>
              <w:t>u</w:t>
            </w:r>
            <w:r w:rsidRPr="00FF17EC">
              <w:rPr>
                <w:spacing w:val="-5"/>
              </w:rPr>
              <w:t>m</w:t>
            </w:r>
            <w:r w:rsidRPr="00FF17EC">
              <w:rPr>
                <w:spacing w:val="-3"/>
              </w:rPr>
              <w:t>e</w:t>
            </w:r>
            <w:r w:rsidRPr="00FF17EC">
              <w:t>r</w:t>
            </w:r>
            <w:r w:rsidRPr="00FF17EC">
              <w:rPr>
                <w:spacing w:val="-4"/>
              </w:rPr>
              <w:t xml:space="preserve"> </w:t>
            </w:r>
            <w:r w:rsidRPr="00FF17EC">
              <w:rPr>
                <w:spacing w:val="-5"/>
              </w:rPr>
              <w:t>u</w:t>
            </w:r>
            <w:r w:rsidRPr="00FF17EC">
              <w:rPr>
                <w:spacing w:val="1"/>
              </w:rPr>
              <w:t>n</w:t>
            </w:r>
            <w:r w:rsidRPr="00FF17EC">
              <w:t>it</w:t>
            </w:r>
          </w:p>
        </w:tc>
        <w:tc>
          <w:tcPr>
            <w:tcW w:w="70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6</w:t>
            </w:r>
            <w:r w:rsidRPr="00FF17EC">
              <w:rPr>
                <w:spacing w:val="5"/>
              </w:rPr>
              <w:t>,</w:t>
            </w:r>
            <w:r w:rsidRPr="00FF17EC">
              <w:t>2</w:t>
            </w:r>
            <w:r w:rsidRPr="00FF17EC">
              <w:rPr>
                <w:spacing w:val="1"/>
              </w:rPr>
              <w:t>2</w:t>
            </w:r>
            <w:r w:rsidRPr="00FF17EC">
              <w:t>1</w:t>
            </w:r>
          </w:p>
        </w:tc>
        <w:tc>
          <w:tcPr>
            <w:tcW w:w="70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6,625</w:t>
            </w:r>
          </w:p>
        </w:tc>
        <w:tc>
          <w:tcPr>
            <w:tcW w:w="64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7,401</w:t>
            </w:r>
          </w:p>
        </w:tc>
        <w:tc>
          <w:tcPr>
            <w:tcW w:w="593"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8</w:t>
            </w:r>
            <w:r w:rsidRPr="00FF17EC">
              <w:t>,</w:t>
            </w:r>
            <w:r w:rsidRPr="00FF17EC">
              <w:rPr>
                <w:spacing w:val="1"/>
              </w:rPr>
              <w:t>0</w:t>
            </w:r>
            <w:r w:rsidRPr="00FF17EC">
              <w:rPr>
                <w:spacing w:val="-5"/>
              </w:rPr>
              <w:t>2</w:t>
            </w:r>
            <w:r w:rsidRPr="00FF17EC">
              <w:t>2</w:t>
            </w:r>
          </w:p>
        </w:tc>
        <w:tc>
          <w:tcPr>
            <w:tcW w:w="592"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8</w:t>
            </w:r>
            <w:r w:rsidRPr="00FF17EC">
              <w:t>,</w:t>
            </w:r>
            <w:r w:rsidRPr="00FF17EC">
              <w:rPr>
                <w:spacing w:val="1"/>
              </w:rPr>
              <w:t>5</w:t>
            </w:r>
            <w:r w:rsidRPr="00FF17EC">
              <w:rPr>
                <w:spacing w:val="-5"/>
              </w:rPr>
              <w:t>4</w:t>
            </w:r>
            <w:r w:rsidRPr="00FF17EC">
              <w:t>4</w:t>
            </w:r>
          </w:p>
        </w:tc>
      </w:tr>
      <w:tr w:rsidR="00EF56CA" w:rsidRPr="00FF17EC" w:rsidTr="006433A2">
        <w:trPr>
          <w:trHeight w:val="340"/>
        </w:trPr>
        <w:tc>
          <w:tcPr>
            <w:tcW w:w="1748"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w:t>
            </w:r>
            <w:r w:rsidRPr="00FF17EC">
              <w:rPr>
                <w:spacing w:val="-6"/>
              </w:rPr>
              <w:t xml:space="preserve"> </w:t>
            </w:r>
            <w:r w:rsidRPr="00FF17EC">
              <w:rPr>
                <w:spacing w:val="1"/>
              </w:rPr>
              <w:t>o</w:t>
            </w:r>
            <w:r w:rsidRPr="00FF17EC">
              <w:t>f</w:t>
            </w:r>
            <w:r w:rsidRPr="00FF17EC">
              <w:rPr>
                <w:spacing w:val="-3"/>
              </w:rPr>
              <w:t xml:space="preserve"> </w:t>
            </w:r>
            <w:r w:rsidRPr="00FF17EC">
              <w:t>t</w:t>
            </w:r>
            <w:r w:rsidRPr="00FF17EC">
              <w:rPr>
                <w:spacing w:val="1"/>
              </w:rPr>
              <w:t>h</w:t>
            </w:r>
            <w:r w:rsidRPr="00FF17EC">
              <w:t>e</w:t>
            </w:r>
            <w:r w:rsidRPr="00FF17EC">
              <w:rPr>
                <w:spacing w:val="-4"/>
              </w:rPr>
              <w:t xml:space="preserve"> </w:t>
            </w:r>
            <w:r w:rsidRPr="00FF17EC">
              <w:rPr>
                <w:spacing w:val="-5"/>
              </w:rPr>
              <w:t>poo</w:t>
            </w:r>
            <w:r w:rsidRPr="00FF17EC">
              <w:t>r</w:t>
            </w:r>
            <w:r w:rsidRPr="00FF17EC">
              <w:rPr>
                <w:spacing w:val="2"/>
              </w:rPr>
              <w:t xml:space="preserve"> </w:t>
            </w:r>
            <w:r w:rsidRPr="00FF17EC">
              <w:t>National level</w:t>
            </w:r>
          </w:p>
        </w:tc>
        <w:tc>
          <w:tcPr>
            <w:tcW w:w="70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w w:val="95"/>
              </w:rPr>
              <w:t>8.8</w:t>
            </w:r>
          </w:p>
        </w:tc>
        <w:tc>
          <w:tcPr>
            <w:tcW w:w="70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w w:val="95"/>
              </w:rPr>
              <w:t>8</w:t>
            </w:r>
            <w:r w:rsidRPr="00FF17EC">
              <w:rPr>
                <w:spacing w:val="4"/>
                <w:w w:val="95"/>
              </w:rPr>
              <w:t>.</w:t>
            </w:r>
            <w:r w:rsidRPr="00FF17EC">
              <w:rPr>
                <w:w w:val="95"/>
              </w:rPr>
              <w:t>3</w:t>
            </w:r>
          </w:p>
        </w:tc>
        <w:tc>
          <w:tcPr>
            <w:tcW w:w="64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6</w:t>
            </w:r>
            <w:r w:rsidRPr="00FF17EC">
              <w:t>.1</w:t>
            </w:r>
          </w:p>
        </w:tc>
        <w:tc>
          <w:tcPr>
            <w:tcW w:w="593"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6</w:t>
            </w:r>
            <w:r w:rsidRPr="00FF17EC">
              <w:t>.9</w:t>
            </w:r>
          </w:p>
        </w:tc>
        <w:tc>
          <w:tcPr>
            <w:tcW w:w="592"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9</w:t>
            </w:r>
            <w:r w:rsidRPr="00FF17EC">
              <w:t>.2</w:t>
            </w:r>
          </w:p>
        </w:tc>
      </w:tr>
      <w:tr w:rsidR="00EF56CA" w:rsidRPr="00FF17EC" w:rsidTr="006433A2">
        <w:trPr>
          <w:trHeight w:val="340"/>
        </w:trPr>
        <w:tc>
          <w:tcPr>
            <w:tcW w:w="4408" w:type="pct"/>
            <w:gridSpan w:val="5"/>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w:t>
            </w:r>
            <w:r w:rsidRPr="00FF17EC">
              <w:rPr>
                <w:spacing w:val="-6"/>
              </w:rPr>
              <w:t xml:space="preserve"> </w:t>
            </w:r>
            <w:r w:rsidRPr="00FF17EC">
              <w:rPr>
                <w:spacing w:val="1"/>
              </w:rPr>
              <w:t>o</w:t>
            </w:r>
            <w:r w:rsidRPr="00FF17EC">
              <w:t>f</w:t>
            </w:r>
            <w:r w:rsidRPr="00FF17EC">
              <w:rPr>
                <w:spacing w:val="-4"/>
              </w:rPr>
              <w:t xml:space="preserve"> </w:t>
            </w:r>
            <w:r w:rsidRPr="00FF17EC">
              <w:t>t</w:t>
            </w:r>
            <w:r w:rsidRPr="00FF17EC">
              <w:rPr>
                <w:spacing w:val="1"/>
              </w:rPr>
              <w:t>h</w:t>
            </w:r>
            <w:r w:rsidRPr="00FF17EC">
              <w:t>e</w:t>
            </w:r>
            <w:r w:rsidRPr="00FF17EC">
              <w:rPr>
                <w:spacing w:val="-4"/>
              </w:rPr>
              <w:t xml:space="preserve"> </w:t>
            </w:r>
            <w:r w:rsidRPr="00FF17EC">
              <w:rPr>
                <w:spacing w:val="-5"/>
              </w:rPr>
              <w:t>poo</w:t>
            </w:r>
            <w:r w:rsidRPr="00FF17EC">
              <w:t>r</w:t>
            </w:r>
            <w:r w:rsidRPr="00FF17EC">
              <w:rPr>
                <w:spacing w:val="2"/>
              </w:rPr>
              <w:t xml:space="preserve"> </w:t>
            </w:r>
            <w:r w:rsidRPr="00FF17EC">
              <w:rPr>
                <w:spacing w:val="1"/>
              </w:rPr>
              <w:t>b</w:t>
            </w:r>
            <w:r w:rsidRPr="00FF17EC">
              <w:t>y</w:t>
            </w:r>
            <w:r w:rsidRPr="00FF17EC">
              <w:rPr>
                <w:spacing w:val="-10"/>
              </w:rPr>
              <w:t xml:space="preserve"> </w:t>
            </w:r>
            <w:r w:rsidRPr="00FF17EC">
              <w:rPr>
                <w:spacing w:val="4"/>
              </w:rPr>
              <w:t>r</w:t>
            </w:r>
            <w:r w:rsidRPr="00FF17EC">
              <w:rPr>
                <w:spacing w:val="2"/>
              </w:rPr>
              <w:t>e</w:t>
            </w:r>
            <w:r w:rsidRPr="00FF17EC">
              <w:rPr>
                <w:spacing w:val="-10"/>
              </w:rPr>
              <w:t>g</w:t>
            </w:r>
            <w:r w:rsidRPr="00FF17EC">
              <w:rPr>
                <w:spacing w:val="4"/>
              </w:rPr>
              <w:t>i</w:t>
            </w:r>
            <w:r w:rsidRPr="00FF17EC">
              <w:rPr>
                <w:spacing w:val="-5"/>
              </w:rPr>
              <w:t>on</w:t>
            </w:r>
            <w:r w:rsidRPr="00FF17EC">
              <w:t>:</w:t>
            </w:r>
          </w:p>
        </w:tc>
        <w:tc>
          <w:tcPr>
            <w:tcW w:w="592"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p>
        </w:tc>
      </w:tr>
      <w:tr w:rsidR="00EF56CA" w:rsidRPr="00FF17EC" w:rsidTr="006433A2">
        <w:trPr>
          <w:trHeight w:val="340"/>
        </w:trPr>
        <w:tc>
          <w:tcPr>
            <w:tcW w:w="1748"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B</w:t>
            </w:r>
            <w:r w:rsidRPr="00FF17EC">
              <w:rPr>
                <w:spacing w:val="-3"/>
              </w:rPr>
              <w:t>e</w:t>
            </w:r>
            <w:r w:rsidRPr="00FF17EC">
              <w:rPr>
                <w:spacing w:val="4"/>
              </w:rPr>
              <w:t>l</w:t>
            </w:r>
            <w:r w:rsidRPr="00FF17EC">
              <w:rPr>
                <w:spacing w:val="-10"/>
              </w:rPr>
              <w:t>g</w:t>
            </w:r>
            <w:r w:rsidRPr="00FF17EC">
              <w:rPr>
                <w:spacing w:val="4"/>
              </w:rPr>
              <w:t>r</w:t>
            </w:r>
            <w:r w:rsidRPr="00FF17EC">
              <w:rPr>
                <w:spacing w:val="-8"/>
              </w:rPr>
              <w:t>a</w:t>
            </w:r>
            <w:r w:rsidRPr="00FF17EC">
              <w:rPr>
                <w:spacing w:val="1"/>
              </w:rPr>
              <w:t>d</w:t>
            </w:r>
            <w:r w:rsidRPr="00FF17EC">
              <w:t>e</w:t>
            </w:r>
          </w:p>
        </w:tc>
        <w:tc>
          <w:tcPr>
            <w:tcW w:w="70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w w:val="95"/>
              </w:rPr>
              <w:t>4.3</w:t>
            </w:r>
          </w:p>
        </w:tc>
        <w:tc>
          <w:tcPr>
            <w:tcW w:w="70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w w:val="95"/>
              </w:rPr>
              <w:t>2</w:t>
            </w:r>
            <w:r w:rsidRPr="00FF17EC">
              <w:rPr>
                <w:spacing w:val="4"/>
                <w:w w:val="95"/>
              </w:rPr>
              <w:t>.</w:t>
            </w:r>
            <w:r w:rsidRPr="00FF17EC">
              <w:rPr>
                <w:w w:val="95"/>
              </w:rPr>
              <w:t>4</w:t>
            </w:r>
          </w:p>
        </w:tc>
        <w:tc>
          <w:tcPr>
            <w:tcW w:w="64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2</w:t>
            </w:r>
            <w:r w:rsidRPr="00FF17EC">
              <w:t>.9</w:t>
            </w:r>
          </w:p>
        </w:tc>
        <w:tc>
          <w:tcPr>
            <w:tcW w:w="593"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3</w:t>
            </w:r>
            <w:r w:rsidRPr="00FF17EC">
              <w:t>.8</w:t>
            </w:r>
          </w:p>
        </w:tc>
        <w:tc>
          <w:tcPr>
            <w:tcW w:w="592"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5</w:t>
            </w:r>
            <w:r w:rsidRPr="00FF17EC">
              <w:t>.3</w:t>
            </w:r>
          </w:p>
        </w:tc>
      </w:tr>
      <w:tr w:rsidR="00EF56CA" w:rsidRPr="00FF17EC" w:rsidTr="006433A2">
        <w:trPr>
          <w:trHeight w:val="340"/>
        </w:trPr>
        <w:tc>
          <w:tcPr>
            <w:tcW w:w="1748"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2"/>
              </w:rPr>
              <w:t>C</w:t>
            </w:r>
            <w:r w:rsidRPr="00FF17EC">
              <w:t>e</w:t>
            </w:r>
            <w:r w:rsidRPr="00FF17EC">
              <w:rPr>
                <w:spacing w:val="1"/>
              </w:rPr>
              <w:t>n</w:t>
            </w:r>
            <w:r w:rsidRPr="00FF17EC">
              <w:t>t</w:t>
            </w:r>
            <w:r w:rsidRPr="00FF17EC">
              <w:rPr>
                <w:spacing w:val="-1"/>
              </w:rPr>
              <w:t>r</w:t>
            </w:r>
            <w:r w:rsidRPr="00FF17EC">
              <w:t>al</w:t>
            </w:r>
            <w:r w:rsidRPr="00FF17EC">
              <w:rPr>
                <w:spacing w:val="-5"/>
              </w:rPr>
              <w:t xml:space="preserve"> </w:t>
            </w:r>
            <w:r w:rsidRPr="00FF17EC">
              <w:t>Se</w:t>
            </w:r>
            <w:r w:rsidRPr="00FF17EC">
              <w:rPr>
                <w:spacing w:val="-1"/>
              </w:rPr>
              <w:t>r</w:t>
            </w:r>
            <w:r w:rsidRPr="00FF17EC">
              <w:rPr>
                <w:spacing w:val="-10"/>
              </w:rPr>
              <w:t>b</w:t>
            </w:r>
            <w:r w:rsidRPr="00FF17EC">
              <w:rPr>
                <w:spacing w:val="4"/>
              </w:rPr>
              <w:t>i</w:t>
            </w:r>
            <w:r w:rsidRPr="00FF17EC">
              <w:t>a</w:t>
            </w:r>
          </w:p>
        </w:tc>
        <w:tc>
          <w:tcPr>
            <w:tcW w:w="70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10</w:t>
            </w:r>
            <w:r w:rsidRPr="00FF17EC">
              <w:t>.7</w:t>
            </w:r>
          </w:p>
        </w:tc>
        <w:tc>
          <w:tcPr>
            <w:tcW w:w="70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w w:val="95"/>
              </w:rPr>
              <w:t>9</w:t>
            </w:r>
            <w:r w:rsidRPr="00FF17EC">
              <w:rPr>
                <w:spacing w:val="4"/>
                <w:w w:val="95"/>
              </w:rPr>
              <w:t>.</w:t>
            </w:r>
            <w:r w:rsidRPr="00FF17EC">
              <w:rPr>
                <w:w w:val="95"/>
              </w:rPr>
              <w:t>0</w:t>
            </w:r>
          </w:p>
        </w:tc>
        <w:tc>
          <w:tcPr>
            <w:tcW w:w="649"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7</w:t>
            </w:r>
            <w:r w:rsidRPr="00FF17EC">
              <w:t>.0</w:t>
            </w:r>
          </w:p>
        </w:tc>
        <w:tc>
          <w:tcPr>
            <w:tcW w:w="593"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9</w:t>
            </w:r>
            <w:r w:rsidRPr="00FF17EC">
              <w:t>.3</w:t>
            </w:r>
          </w:p>
        </w:tc>
        <w:tc>
          <w:tcPr>
            <w:tcW w:w="592" w:type="pct"/>
            <w:tcBorders>
              <w:top w:val="single" w:sz="5"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1</w:t>
            </w:r>
            <w:r w:rsidRPr="00FF17EC">
              <w:rPr>
                <w:spacing w:val="1"/>
              </w:rPr>
              <w:t>2</w:t>
            </w:r>
            <w:r w:rsidRPr="00FF17EC">
              <w:t>.0</w:t>
            </w:r>
          </w:p>
        </w:tc>
      </w:tr>
      <w:tr w:rsidR="00EF56CA" w:rsidRPr="00FF17EC" w:rsidTr="006433A2">
        <w:trPr>
          <w:trHeight w:val="340"/>
        </w:trPr>
        <w:tc>
          <w:tcPr>
            <w:tcW w:w="1748" w:type="pct"/>
            <w:tcBorders>
              <w:top w:val="single" w:sz="5" w:space="0" w:color="BEBEBE"/>
              <w:left w:val="single" w:sz="5" w:space="0" w:color="BEBEBE"/>
              <w:bottom w:val="single" w:sz="3"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3"/>
              </w:rPr>
              <w:t>V</w:t>
            </w:r>
            <w:r w:rsidRPr="00FF17EC">
              <w:t>o</w:t>
            </w:r>
            <w:r w:rsidRPr="00FF17EC">
              <w:rPr>
                <w:spacing w:val="4"/>
              </w:rPr>
              <w:t>j</w:t>
            </w:r>
            <w:r w:rsidRPr="00FF17EC">
              <w:t>vo</w:t>
            </w:r>
            <w:r w:rsidRPr="00FF17EC">
              <w:rPr>
                <w:spacing w:val="1"/>
              </w:rPr>
              <w:t>d</w:t>
            </w:r>
            <w:r w:rsidRPr="00FF17EC">
              <w:t>i</w:t>
            </w:r>
            <w:r w:rsidRPr="00FF17EC">
              <w:rPr>
                <w:spacing w:val="1"/>
              </w:rPr>
              <w:t>n</w:t>
            </w:r>
            <w:r w:rsidRPr="00FF17EC">
              <w:t>a</w:t>
            </w:r>
          </w:p>
        </w:tc>
        <w:tc>
          <w:tcPr>
            <w:tcW w:w="709" w:type="pct"/>
            <w:tcBorders>
              <w:top w:val="single" w:sz="5" w:space="0" w:color="BEBEBE"/>
              <w:left w:val="single" w:sz="5" w:space="0" w:color="BEBEBE"/>
              <w:bottom w:val="single" w:sz="3"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w w:val="95"/>
              </w:rPr>
              <w:t>8.6</w:t>
            </w:r>
          </w:p>
        </w:tc>
        <w:tc>
          <w:tcPr>
            <w:tcW w:w="709" w:type="pct"/>
            <w:tcBorders>
              <w:top w:val="single" w:sz="5" w:space="0" w:color="BEBEBE"/>
              <w:left w:val="single" w:sz="5" w:space="0" w:color="BEBEBE"/>
              <w:bottom w:val="single" w:sz="3"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1</w:t>
            </w:r>
            <w:r w:rsidRPr="00FF17EC">
              <w:rPr>
                <w:spacing w:val="-5"/>
              </w:rPr>
              <w:t>1</w:t>
            </w:r>
            <w:r w:rsidRPr="00FF17EC">
              <w:rPr>
                <w:spacing w:val="5"/>
              </w:rPr>
              <w:t>.</w:t>
            </w:r>
            <w:r w:rsidRPr="00FF17EC">
              <w:t>9</w:t>
            </w:r>
          </w:p>
        </w:tc>
        <w:tc>
          <w:tcPr>
            <w:tcW w:w="649" w:type="pct"/>
            <w:tcBorders>
              <w:top w:val="single" w:sz="5" w:space="0" w:color="BEBEBE"/>
              <w:left w:val="single" w:sz="5" w:space="0" w:color="BEBEBE"/>
              <w:bottom w:val="single" w:sz="3"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6</w:t>
            </w:r>
            <w:r w:rsidRPr="00FF17EC">
              <w:t>.8</w:t>
            </w:r>
          </w:p>
        </w:tc>
        <w:tc>
          <w:tcPr>
            <w:tcW w:w="593" w:type="pct"/>
            <w:tcBorders>
              <w:top w:val="single" w:sz="5" w:space="0" w:color="BEBEBE"/>
              <w:left w:val="single" w:sz="5" w:space="0" w:color="BEBEBE"/>
              <w:bottom w:val="single" w:sz="3"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4</w:t>
            </w:r>
            <w:r w:rsidRPr="00FF17EC">
              <w:t>.9</w:t>
            </w:r>
          </w:p>
        </w:tc>
        <w:tc>
          <w:tcPr>
            <w:tcW w:w="592" w:type="pct"/>
            <w:tcBorders>
              <w:top w:val="single" w:sz="5" w:space="0" w:color="BEBEBE"/>
              <w:left w:val="single" w:sz="5" w:space="0" w:color="BEBEBE"/>
              <w:bottom w:val="single" w:sz="3"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6</w:t>
            </w:r>
            <w:r w:rsidRPr="00FF17EC">
              <w:t>.8</w:t>
            </w:r>
          </w:p>
        </w:tc>
      </w:tr>
      <w:tr w:rsidR="00EF56CA" w:rsidRPr="00FF17EC" w:rsidTr="006433A2">
        <w:trPr>
          <w:trHeight w:val="340"/>
        </w:trPr>
        <w:tc>
          <w:tcPr>
            <w:tcW w:w="5000" w:type="pct"/>
            <w:gridSpan w:val="6"/>
            <w:tcBorders>
              <w:top w:val="single" w:sz="3" w:space="0" w:color="BEBEBE"/>
              <w:left w:val="single" w:sz="5" w:space="0" w:color="BEBEBE"/>
              <w:bottom w:val="single" w:sz="5"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w:t>
            </w:r>
            <w:r w:rsidRPr="00FF17EC">
              <w:rPr>
                <w:spacing w:val="-7"/>
              </w:rPr>
              <w:t xml:space="preserve"> </w:t>
            </w:r>
            <w:r w:rsidRPr="00FF17EC">
              <w:rPr>
                <w:spacing w:val="1"/>
              </w:rPr>
              <w:t>o</w:t>
            </w:r>
            <w:r w:rsidRPr="00FF17EC">
              <w:t>f</w:t>
            </w:r>
            <w:r w:rsidRPr="00FF17EC">
              <w:rPr>
                <w:spacing w:val="-3"/>
              </w:rPr>
              <w:t xml:space="preserve"> </w:t>
            </w:r>
            <w:r w:rsidRPr="00FF17EC">
              <w:t>t</w:t>
            </w:r>
            <w:r w:rsidRPr="00FF17EC">
              <w:rPr>
                <w:spacing w:val="1"/>
              </w:rPr>
              <w:t>h</w:t>
            </w:r>
            <w:r w:rsidRPr="00FF17EC">
              <w:t>e</w:t>
            </w:r>
            <w:r w:rsidRPr="00FF17EC">
              <w:rPr>
                <w:spacing w:val="-4"/>
              </w:rPr>
              <w:t xml:space="preserve"> </w:t>
            </w:r>
            <w:r w:rsidRPr="00FF17EC">
              <w:rPr>
                <w:spacing w:val="-5"/>
              </w:rPr>
              <w:t>poo</w:t>
            </w:r>
            <w:r w:rsidRPr="00FF17EC">
              <w:t>r</w:t>
            </w:r>
            <w:r w:rsidRPr="00FF17EC">
              <w:rPr>
                <w:spacing w:val="1"/>
              </w:rPr>
              <w:t xml:space="preserve"> </w:t>
            </w:r>
            <w:r w:rsidRPr="00FF17EC">
              <w:rPr>
                <w:spacing w:val="-5"/>
              </w:rPr>
              <w:t>b</w:t>
            </w:r>
            <w:r w:rsidRPr="00FF17EC">
              <w:t>y</w:t>
            </w:r>
            <w:r w:rsidRPr="00FF17EC">
              <w:rPr>
                <w:spacing w:val="40"/>
              </w:rPr>
              <w:t xml:space="preserve"> </w:t>
            </w:r>
            <w:r w:rsidRPr="00FF17EC">
              <w:rPr>
                <w:spacing w:val="4"/>
              </w:rPr>
              <w:t>t</w:t>
            </w:r>
            <w:r w:rsidRPr="00FF17EC">
              <w:rPr>
                <w:spacing w:val="-5"/>
              </w:rPr>
              <w:t>y</w:t>
            </w:r>
            <w:r w:rsidRPr="00FF17EC">
              <w:rPr>
                <w:spacing w:val="1"/>
              </w:rPr>
              <w:t>p</w:t>
            </w:r>
            <w:r w:rsidRPr="00FF17EC">
              <w:t>e</w:t>
            </w:r>
            <w:r w:rsidRPr="00FF17EC">
              <w:rPr>
                <w:spacing w:val="-4"/>
              </w:rPr>
              <w:t xml:space="preserve"> </w:t>
            </w:r>
            <w:r w:rsidRPr="00FF17EC">
              <w:rPr>
                <w:spacing w:val="1"/>
              </w:rPr>
              <w:t>o</w:t>
            </w:r>
            <w:r w:rsidRPr="00FF17EC">
              <w:t>f</w:t>
            </w:r>
            <w:r w:rsidRPr="00FF17EC">
              <w:rPr>
                <w:spacing w:val="-7"/>
              </w:rPr>
              <w:t xml:space="preserve"> </w:t>
            </w:r>
            <w:r w:rsidRPr="00FF17EC">
              <w:rPr>
                <w:spacing w:val="-2"/>
              </w:rPr>
              <w:t>s</w:t>
            </w:r>
            <w:r w:rsidRPr="00FF17EC">
              <w:rPr>
                <w:spacing w:val="-3"/>
              </w:rPr>
              <w:t>e</w:t>
            </w:r>
            <w:r w:rsidRPr="00FF17EC">
              <w:rPr>
                <w:spacing w:val="4"/>
              </w:rPr>
              <w:t>t</w:t>
            </w:r>
            <w:r w:rsidRPr="00FF17EC">
              <w:t>tl</w:t>
            </w:r>
            <w:r w:rsidRPr="00FF17EC">
              <w:rPr>
                <w:spacing w:val="-3"/>
              </w:rPr>
              <w:t>e</w:t>
            </w:r>
            <w:r w:rsidRPr="00FF17EC">
              <w:rPr>
                <w:spacing w:val="-5"/>
              </w:rPr>
              <w:t>m</w:t>
            </w:r>
            <w:r w:rsidRPr="00FF17EC">
              <w:rPr>
                <w:spacing w:val="-3"/>
              </w:rPr>
              <w:t>e</w:t>
            </w:r>
            <w:r w:rsidRPr="00FF17EC">
              <w:rPr>
                <w:spacing w:val="1"/>
              </w:rPr>
              <w:t>n</w:t>
            </w:r>
            <w:r w:rsidRPr="00FF17EC">
              <w:t>t:</w:t>
            </w:r>
          </w:p>
        </w:tc>
      </w:tr>
      <w:tr w:rsidR="00EF56CA" w:rsidRPr="00FF17EC" w:rsidTr="006433A2">
        <w:trPr>
          <w:trHeight w:val="340"/>
        </w:trPr>
        <w:tc>
          <w:tcPr>
            <w:tcW w:w="1748" w:type="pct"/>
            <w:tcBorders>
              <w:top w:val="single" w:sz="5" w:space="0" w:color="BEBEBE"/>
              <w:left w:val="single" w:sz="5" w:space="0" w:color="BEBEBE"/>
              <w:bottom w:val="single" w:sz="4" w:space="0" w:color="BEBEBE"/>
              <w:right w:val="single" w:sz="5" w:space="0" w:color="BEBEBE"/>
            </w:tcBorders>
          </w:tcPr>
          <w:p w:rsidR="00EF56CA" w:rsidRPr="00FF17EC" w:rsidRDefault="00EF56CA" w:rsidP="006433A2">
            <w:pPr>
              <w:keepNext/>
              <w:spacing w:after="0" w:line="240" w:lineRule="auto"/>
              <w:rPr>
                <w:rFonts w:eastAsia="Times New Roman"/>
              </w:rPr>
            </w:pPr>
            <w:r w:rsidRPr="00FF17EC">
              <w:t>U</w:t>
            </w:r>
            <w:r w:rsidRPr="00FF17EC">
              <w:rPr>
                <w:spacing w:val="-1"/>
              </w:rPr>
              <w:t>r</w:t>
            </w:r>
            <w:r w:rsidRPr="00FF17EC">
              <w:rPr>
                <w:spacing w:val="-5"/>
              </w:rPr>
              <w:t>b</w:t>
            </w:r>
            <w:r w:rsidRPr="00FF17EC">
              <w:t>an</w:t>
            </w:r>
            <w:r w:rsidRPr="00FF17EC">
              <w:rPr>
                <w:spacing w:val="-6"/>
              </w:rPr>
              <w:t xml:space="preserve"> </w:t>
            </w:r>
            <w:r w:rsidRPr="00FF17EC">
              <w:t>a</w:t>
            </w:r>
            <w:r w:rsidRPr="00FF17EC">
              <w:rPr>
                <w:spacing w:val="-1"/>
              </w:rPr>
              <w:t>r</w:t>
            </w:r>
            <w:r w:rsidRPr="00FF17EC">
              <w:rPr>
                <w:spacing w:val="2"/>
              </w:rPr>
              <w:t>e</w:t>
            </w:r>
            <w:r w:rsidRPr="00FF17EC">
              <w:t>a</w:t>
            </w:r>
          </w:p>
        </w:tc>
        <w:tc>
          <w:tcPr>
            <w:tcW w:w="709" w:type="pct"/>
            <w:tcBorders>
              <w:top w:val="single" w:sz="5" w:space="0" w:color="BEBEBE"/>
              <w:left w:val="single" w:sz="5" w:space="0" w:color="BEBEBE"/>
              <w:bottom w:val="single" w:sz="4"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w w:val="95"/>
              </w:rPr>
              <w:t>5.3</w:t>
            </w:r>
          </w:p>
        </w:tc>
        <w:tc>
          <w:tcPr>
            <w:tcW w:w="709" w:type="pct"/>
            <w:tcBorders>
              <w:top w:val="single" w:sz="5" w:space="0" w:color="BEBEBE"/>
              <w:left w:val="single" w:sz="5" w:space="0" w:color="BEBEBE"/>
              <w:bottom w:val="single" w:sz="4"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w w:val="95"/>
              </w:rPr>
              <w:t>6</w:t>
            </w:r>
            <w:r w:rsidRPr="00FF17EC">
              <w:rPr>
                <w:spacing w:val="4"/>
                <w:w w:val="95"/>
              </w:rPr>
              <w:t>.</w:t>
            </w:r>
            <w:r w:rsidRPr="00FF17EC">
              <w:rPr>
                <w:w w:val="95"/>
              </w:rPr>
              <w:t>0</w:t>
            </w:r>
          </w:p>
        </w:tc>
        <w:tc>
          <w:tcPr>
            <w:tcW w:w="649" w:type="pct"/>
            <w:tcBorders>
              <w:top w:val="single" w:sz="5" w:space="0" w:color="BEBEBE"/>
              <w:left w:val="single" w:sz="5" w:space="0" w:color="BEBEBE"/>
              <w:bottom w:val="single" w:sz="4"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5</w:t>
            </w:r>
            <w:r w:rsidRPr="00FF17EC">
              <w:t>.0</w:t>
            </w:r>
          </w:p>
        </w:tc>
        <w:tc>
          <w:tcPr>
            <w:tcW w:w="593" w:type="pct"/>
            <w:tcBorders>
              <w:top w:val="single" w:sz="5" w:space="0" w:color="BEBEBE"/>
              <w:left w:val="single" w:sz="5" w:space="0" w:color="BEBEBE"/>
              <w:bottom w:val="single" w:sz="4"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4</w:t>
            </w:r>
            <w:r w:rsidRPr="00FF17EC">
              <w:t>.9</w:t>
            </w:r>
          </w:p>
        </w:tc>
        <w:tc>
          <w:tcPr>
            <w:tcW w:w="592" w:type="pct"/>
            <w:tcBorders>
              <w:top w:val="single" w:sz="5" w:space="0" w:color="BEBEBE"/>
              <w:left w:val="single" w:sz="5" w:space="0" w:color="BEBEBE"/>
              <w:bottom w:val="single" w:sz="4" w:space="0" w:color="BEBEBE"/>
              <w:right w:val="single" w:sz="5" w:space="0" w:color="BEBEBE"/>
            </w:tcBorders>
          </w:tcPr>
          <w:p w:rsidR="00EF56CA" w:rsidRPr="00FF17EC" w:rsidRDefault="00EF56CA" w:rsidP="006433A2">
            <w:pPr>
              <w:keepNext/>
              <w:spacing w:after="0" w:line="240" w:lineRule="auto"/>
              <w:rPr>
                <w:rFonts w:eastAsia="Times New Roman"/>
              </w:rPr>
            </w:pPr>
            <w:r w:rsidRPr="00FF17EC">
              <w:rPr>
                <w:spacing w:val="1"/>
              </w:rPr>
              <w:t>5</w:t>
            </w:r>
            <w:r w:rsidRPr="00FF17EC">
              <w:t>.7</w:t>
            </w:r>
          </w:p>
        </w:tc>
      </w:tr>
      <w:tr w:rsidR="00EF56CA" w:rsidRPr="00FF17EC" w:rsidTr="006433A2">
        <w:trPr>
          <w:trHeight w:val="340"/>
        </w:trPr>
        <w:tc>
          <w:tcPr>
            <w:tcW w:w="1748" w:type="pct"/>
            <w:tcBorders>
              <w:top w:val="single" w:sz="4" w:space="0" w:color="BEBEBE"/>
              <w:left w:val="single" w:sz="6" w:space="0" w:color="BEBEBE"/>
              <w:bottom w:val="single" w:sz="4" w:space="0" w:color="auto"/>
              <w:right w:val="single" w:sz="6" w:space="0" w:color="BEBEBE"/>
            </w:tcBorders>
          </w:tcPr>
          <w:p w:rsidR="00EF56CA" w:rsidRPr="00FF17EC" w:rsidRDefault="00EF56CA" w:rsidP="006433A2">
            <w:pPr>
              <w:keepNext/>
              <w:spacing w:after="0" w:line="240" w:lineRule="auto"/>
              <w:rPr>
                <w:rFonts w:eastAsia="Times New Roman"/>
              </w:rPr>
            </w:pPr>
            <w:r w:rsidRPr="00FF17EC">
              <w:t>O</w:t>
            </w:r>
            <w:r w:rsidRPr="00FF17EC">
              <w:rPr>
                <w:spacing w:val="4"/>
              </w:rPr>
              <w:t>t</w:t>
            </w:r>
            <w:r w:rsidRPr="00FF17EC">
              <w:rPr>
                <w:spacing w:val="-5"/>
              </w:rPr>
              <w:t>h</w:t>
            </w:r>
            <w:r w:rsidRPr="00FF17EC">
              <w:t>er a</w:t>
            </w:r>
            <w:r w:rsidRPr="00FF17EC">
              <w:rPr>
                <w:spacing w:val="-1"/>
              </w:rPr>
              <w:t>r</w:t>
            </w:r>
            <w:r w:rsidRPr="00FF17EC">
              <w:t>ea</w:t>
            </w:r>
          </w:p>
        </w:tc>
        <w:tc>
          <w:tcPr>
            <w:tcW w:w="709" w:type="pct"/>
            <w:tcBorders>
              <w:top w:val="single" w:sz="4" w:space="0" w:color="BEBEBE"/>
              <w:left w:val="single" w:sz="6" w:space="0" w:color="BEBEBE"/>
              <w:bottom w:val="single" w:sz="4" w:space="0" w:color="auto"/>
              <w:right w:val="single" w:sz="6" w:space="0" w:color="BEBEBE"/>
            </w:tcBorders>
          </w:tcPr>
          <w:p w:rsidR="00EF56CA" w:rsidRPr="00FF17EC" w:rsidRDefault="00EF56CA" w:rsidP="006433A2">
            <w:pPr>
              <w:keepNext/>
              <w:spacing w:after="0" w:line="240" w:lineRule="auto"/>
              <w:rPr>
                <w:rFonts w:eastAsia="Times New Roman"/>
              </w:rPr>
            </w:pPr>
            <w:r w:rsidRPr="00FF17EC">
              <w:rPr>
                <w:spacing w:val="1"/>
              </w:rPr>
              <w:t>13</w:t>
            </w:r>
            <w:r w:rsidRPr="00FF17EC">
              <w:t>.3</w:t>
            </w:r>
          </w:p>
        </w:tc>
        <w:tc>
          <w:tcPr>
            <w:tcW w:w="709" w:type="pct"/>
            <w:tcBorders>
              <w:top w:val="single" w:sz="4" w:space="0" w:color="BEBEBE"/>
              <w:left w:val="single" w:sz="6" w:space="0" w:color="BEBEBE"/>
              <w:bottom w:val="single" w:sz="4" w:space="0" w:color="auto"/>
              <w:right w:val="single" w:sz="6" w:space="0" w:color="BEBEBE"/>
            </w:tcBorders>
          </w:tcPr>
          <w:p w:rsidR="00EF56CA" w:rsidRPr="00FF17EC" w:rsidRDefault="00EF56CA" w:rsidP="006433A2">
            <w:pPr>
              <w:keepNext/>
              <w:spacing w:after="0" w:line="240" w:lineRule="auto"/>
              <w:rPr>
                <w:rFonts w:eastAsia="Times New Roman"/>
              </w:rPr>
            </w:pPr>
            <w:r w:rsidRPr="00FF17EC">
              <w:t>1</w:t>
            </w:r>
            <w:r w:rsidRPr="00FF17EC">
              <w:rPr>
                <w:spacing w:val="-5"/>
              </w:rPr>
              <w:t>1</w:t>
            </w:r>
            <w:r w:rsidRPr="00FF17EC">
              <w:rPr>
                <w:spacing w:val="5"/>
              </w:rPr>
              <w:t>.</w:t>
            </w:r>
            <w:r w:rsidRPr="00FF17EC">
              <w:t>2</w:t>
            </w:r>
          </w:p>
        </w:tc>
        <w:tc>
          <w:tcPr>
            <w:tcW w:w="649" w:type="pct"/>
            <w:tcBorders>
              <w:top w:val="single" w:sz="4" w:space="0" w:color="BEBEBE"/>
              <w:left w:val="single" w:sz="6" w:space="0" w:color="BEBEBE"/>
              <w:bottom w:val="single" w:sz="4" w:space="0" w:color="auto"/>
              <w:right w:val="single" w:sz="6" w:space="0" w:color="BEBEBE"/>
            </w:tcBorders>
          </w:tcPr>
          <w:p w:rsidR="00EF56CA" w:rsidRPr="00FF17EC" w:rsidRDefault="00EF56CA" w:rsidP="006433A2">
            <w:pPr>
              <w:keepNext/>
              <w:spacing w:after="0" w:line="240" w:lineRule="auto"/>
              <w:rPr>
                <w:rFonts w:eastAsia="Times New Roman"/>
              </w:rPr>
            </w:pPr>
            <w:r w:rsidRPr="00FF17EC">
              <w:rPr>
                <w:spacing w:val="1"/>
              </w:rPr>
              <w:t>7</w:t>
            </w:r>
            <w:r w:rsidRPr="00FF17EC">
              <w:t>.5</w:t>
            </w:r>
          </w:p>
        </w:tc>
        <w:tc>
          <w:tcPr>
            <w:tcW w:w="593" w:type="pct"/>
            <w:tcBorders>
              <w:top w:val="single" w:sz="4" w:space="0" w:color="BEBEBE"/>
              <w:left w:val="single" w:sz="6" w:space="0" w:color="BEBEBE"/>
              <w:bottom w:val="single" w:sz="4" w:space="0" w:color="auto"/>
              <w:right w:val="single" w:sz="6" w:space="0" w:color="BEBEBE"/>
            </w:tcBorders>
          </w:tcPr>
          <w:p w:rsidR="00EF56CA" w:rsidRPr="00FF17EC" w:rsidRDefault="00EF56CA" w:rsidP="006433A2">
            <w:pPr>
              <w:keepNext/>
              <w:spacing w:after="0" w:line="240" w:lineRule="auto"/>
              <w:rPr>
                <w:rFonts w:eastAsia="Times New Roman"/>
              </w:rPr>
            </w:pPr>
            <w:r w:rsidRPr="00FF17EC">
              <w:rPr>
                <w:spacing w:val="1"/>
              </w:rPr>
              <w:t>9</w:t>
            </w:r>
            <w:r w:rsidRPr="00FF17EC">
              <w:t>.6</w:t>
            </w:r>
          </w:p>
        </w:tc>
        <w:tc>
          <w:tcPr>
            <w:tcW w:w="592" w:type="pct"/>
            <w:tcBorders>
              <w:top w:val="single" w:sz="4" w:space="0" w:color="BEBEBE"/>
              <w:left w:val="single" w:sz="6" w:space="0" w:color="BEBEBE"/>
              <w:bottom w:val="single" w:sz="4" w:space="0" w:color="auto"/>
              <w:right w:val="single" w:sz="6" w:space="0" w:color="BEBEBE"/>
            </w:tcBorders>
          </w:tcPr>
          <w:p w:rsidR="00EF56CA" w:rsidRPr="00FF17EC" w:rsidRDefault="00EF56CA" w:rsidP="006433A2">
            <w:pPr>
              <w:keepNext/>
              <w:spacing w:after="0" w:line="240" w:lineRule="auto"/>
              <w:rPr>
                <w:rFonts w:eastAsia="Times New Roman"/>
              </w:rPr>
            </w:pPr>
            <w:r w:rsidRPr="00FF17EC">
              <w:t>1</w:t>
            </w:r>
            <w:r w:rsidRPr="00FF17EC">
              <w:rPr>
                <w:spacing w:val="1"/>
              </w:rPr>
              <w:t>3</w:t>
            </w:r>
            <w:r w:rsidRPr="00FF17EC">
              <w:t>.6</w:t>
            </w:r>
          </w:p>
        </w:tc>
      </w:tr>
    </w:tbl>
    <w:p w:rsidR="00EF56CA" w:rsidRPr="00FF17EC" w:rsidRDefault="00EF56CA" w:rsidP="00EF56CA">
      <w:pPr>
        <w:pStyle w:val="Caption"/>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5</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3</w:t>
      </w:r>
      <w:r w:rsidR="00085686" w:rsidRPr="00FF17EC">
        <w:rPr>
          <w:noProof/>
        </w:rPr>
        <w:fldChar w:fldCharType="end"/>
      </w:r>
      <w:r w:rsidR="00393059" w:rsidRPr="00FF17EC">
        <w:t xml:space="preserve"> </w:t>
      </w:r>
      <w:r w:rsidRPr="00FF17EC">
        <w:t xml:space="preserve">Serbia: Population below the </w:t>
      </w:r>
      <w:r w:rsidRPr="00FF17EC">
        <w:rPr>
          <w:rFonts w:cs="Times New Roman"/>
          <w:spacing w:val="2"/>
        </w:rPr>
        <w:t>A</w:t>
      </w:r>
      <w:r w:rsidRPr="00FF17EC">
        <w:rPr>
          <w:rFonts w:cs="Times New Roman"/>
          <w:spacing w:val="-6"/>
        </w:rPr>
        <w:t>b</w:t>
      </w:r>
      <w:r w:rsidRPr="00FF17EC">
        <w:rPr>
          <w:rFonts w:cs="Times New Roman"/>
          <w:spacing w:val="3"/>
        </w:rPr>
        <w:t>s</w:t>
      </w:r>
      <w:r w:rsidRPr="00FF17EC">
        <w:rPr>
          <w:rFonts w:cs="Times New Roman"/>
          <w:spacing w:val="-10"/>
        </w:rPr>
        <w:t>o</w:t>
      </w:r>
      <w:r w:rsidRPr="00FF17EC">
        <w:rPr>
          <w:rFonts w:cs="Times New Roman"/>
          <w:spacing w:val="4"/>
        </w:rPr>
        <w:t>l</w:t>
      </w:r>
      <w:r w:rsidRPr="00FF17EC">
        <w:rPr>
          <w:rFonts w:cs="Times New Roman"/>
          <w:spacing w:val="-6"/>
        </w:rPr>
        <w:t>u</w:t>
      </w:r>
      <w:r w:rsidRPr="00FF17EC">
        <w:rPr>
          <w:rFonts w:cs="Times New Roman"/>
          <w:spacing w:val="-1"/>
        </w:rPr>
        <w:t>t</w:t>
      </w:r>
      <w:r w:rsidRPr="00FF17EC">
        <w:rPr>
          <w:rFonts w:cs="Times New Roman"/>
        </w:rPr>
        <w:t>e</w:t>
      </w:r>
      <w:r w:rsidRPr="00FF17EC">
        <w:rPr>
          <w:rFonts w:cs="Times New Roman"/>
          <w:spacing w:val="-8"/>
        </w:rPr>
        <w:t xml:space="preserve"> </w:t>
      </w:r>
      <w:r w:rsidRPr="00FF17EC">
        <w:rPr>
          <w:rFonts w:cs="Times New Roman"/>
          <w:spacing w:val="5"/>
        </w:rPr>
        <w:t>p</w:t>
      </w:r>
      <w:r w:rsidRPr="00FF17EC">
        <w:rPr>
          <w:rFonts w:cs="Times New Roman"/>
          <w:spacing w:val="-5"/>
        </w:rPr>
        <w:t>ov</w:t>
      </w:r>
      <w:r w:rsidRPr="00FF17EC">
        <w:rPr>
          <w:rFonts w:cs="Times New Roman"/>
          <w:spacing w:val="2"/>
        </w:rPr>
        <w:t>e</w:t>
      </w:r>
      <w:r w:rsidRPr="00FF17EC">
        <w:rPr>
          <w:rFonts w:cs="Times New Roman"/>
          <w:spacing w:val="-3"/>
        </w:rPr>
        <w:t>r</w:t>
      </w:r>
      <w:r w:rsidRPr="00FF17EC">
        <w:rPr>
          <w:rFonts w:cs="Times New Roman"/>
          <w:spacing w:val="-1"/>
        </w:rPr>
        <w:t>t</w:t>
      </w:r>
      <w:r w:rsidRPr="00FF17EC">
        <w:rPr>
          <w:rFonts w:cs="Times New Roman"/>
        </w:rPr>
        <w:t>y</w:t>
      </w:r>
      <w:r w:rsidRPr="00FF17EC">
        <w:rPr>
          <w:rFonts w:cs="Times New Roman"/>
          <w:spacing w:val="-3"/>
        </w:rPr>
        <w:t xml:space="preserve"> </w:t>
      </w:r>
      <w:r w:rsidRPr="00FF17EC">
        <w:rPr>
          <w:rFonts w:cs="Times New Roman"/>
        </w:rPr>
        <w:t>line</w:t>
      </w:r>
      <w:r w:rsidRPr="00FF17EC">
        <w:rPr>
          <w:rFonts w:cs="Times New Roman"/>
          <w:spacing w:val="-7"/>
        </w:rPr>
        <w:t xml:space="preserve"> </w:t>
      </w:r>
      <w:r w:rsidRPr="00FF17EC">
        <w:rPr>
          <w:rFonts w:cs="Times New Roman"/>
          <w:spacing w:val="-1"/>
        </w:rPr>
        <w:t>(</w:t>
      </w:r>
      <w:r w:rsidRPr="00FF17EC">
        <w:rPr>
          <w:rFonts w:cs="Times New Roman"/>
          <w:spacing w:val="-3"/>
        </w:rPr>
        <w:t>С</w:t>
      </w:r>
      <w:r w:rsidRPr="00FF17EC">
        <w:rPr>
          <w:rFonts w:cs="Times New Roman"/>
          <w:spacing w:val="4"/>
        </w:rPr>
        <w:t>Р</w:t>
      </w:r>
      <w:r w:rsidRPr="00FF17EC">
        <w:rPr>
          <w:rFonts w:cs="Times New Roman"/>
          <w:spacing w:val="-2"/>
        </w:rPr>
        <w:t>I</w:t>
      </w:r>
      <w:r w:rsidRPr="00FF17EC">
        <w:rPr>
          <w:rFonts w:cs="Times New Roman"/>
        </w:rPr>
        <w:t>)</w:t>
      </w:r>
      <w:r w:rsidRPr="00FF17EC">
        <w:rPr>
          <w:rStyle w:val="FootnoteReference"/>
          <w:bCs w:val="0"/>
          <w:i/>
          <w:sz w:val="20"/>
          <w:szCs w:val="20"/>
        </w:rPr>
        <w:footnoteReference w:id="27"/>
      </w:r>
    </w:p>
    <w:p w:rsidR="00EF56CA" w:rsidRPr="00FF17EC" w:rsidRDefault="00EF56CA" w:rsidP="00EF56CA">
      <w:r w:rsidRPr="00FF17EC">
        <w:t xml:space="preserve">The access to health care services, that will be discussed in better detail in the next chapter, can provide an indirect indicator of the problems of social exclusion and poverty. </w:t>
      </w:r>
    </w:p>
    <w:p w:rsidR="00EF56CA" w:rsidRPr="00FF17EC" w:rsidRDefault="00EF56CA" w:rsidP="00EF56CA">
      <w:r w:rsidRPr="00FF17EC">
        <w:t>Considering the indicator of number of doctors per thousand of inhabitants, can be noticed a large disparity between Timiș and all the other counties and districts.</w:t>
      </w:r>
    </w:p>
    <w:p w:rsidR="00EF56CA" w:rsidRPr="00FF17EC" w:rsidRDefault="00EF56CA" w:rsidP="00EF56CA">
      <w:r w:rsidRPr="00FF17EC">
        <w:t xml:space="preserve"> In fact in the Timișoara area the presence of Universities and health care centres, public and private, leads the indicator of number of doctors per 1000 of inhabitants to the double than the average in the two counties, and in the other districts.</w:t>
      </w:r>
    </w:p>
    <w:p w:rsidR="00EF56CA" w:rsidRPr="00FF17EC" w:rsidRDefault="00EF56CA" w:rsidP="00EF56CA">
      <w:r w:rsidRPr="00FF17EC">
        <w:t xml:space="preserve">Cross border interactions influence the dynamic and the improvement of poverty and social exclusion. The integration of local markets can offer job opportunities, as traditionally happened for Romanian seasonal workers in Serbian agriculture. Micro Enterprises starting tourism activities can generate cross border flows of visitors. Populations at the borders can access to products and services that are available in the neighbour country, </w:t>
      </w:r>
    </w:p>
    <w:p w:rsidR="00EF56CA" w:rsidRPr="00FF17EC" w:rsidRDefault="00EF56CA" w:rsidP="00EF56CA">
      <w:r w:rsidRPr="00FF17EC">
        <w:t xml:space="preserve">In the current programme, some initiatives have been implemented in particular in the health care services sector for the improvement of the quality and accessibility of services. </w:t>
      </w:r>
    </w:p>
    <w:p w:rsidR="00EF56CA" w:rsidRPr="00FF17EC" w:rsidRDefault="00EF56CA" w:rsidP="00EF56CA"/>
    <w:p w:rsidR="00EF56CA" w:rsidRPr="00FF17EC" w:rsidRDefault="00EF56CA" w:rsidP="00EF56CA"/>
    <w:p w:rsidR="00EF56CA" w:rsidRPr="00FF17EC" w:rsidRDefault="00EF56CA" w:rsidP="00A62261">
      <w:pPr>
        <w:pStyle w:val="Heading1"/>
      </w:pPr>
      <w:bookmarkStart w:id="70" w:name="_Toc383354411"/>
      <w:bookmarkStart w:id="71" w:name="_Toc383415712"/>
      <w:r w:rsidRPr="00FF17EC">
        <w:lastRenderedPageBreak/>
        <w:t>Health care services</w:t>
      </w:r>
      <w:bookmarkEnd w:id="70"/>
      <w:bookmarkEnd w:id="71"/>
      <w:r w:rsidRPr="00FF17EC">
        <w:t xml:space="preserve"> </w:t>
      </w:r>
    </w:p>
    <w:p w:rsidR="00EF56CA" w:rsidRPr="00FF17EC" w:rsidRDefault="00EF56CA" w:rsidP="00EF56CA">
      <w:r w:rsidRPr="00FF17EC">
        <w:t>Quality and quantity of health care services in the area can be described through some quantitative indicators, and few quantitative indicators available in all counties and districts of the eligible area, shown in the table below. The health care services play a critical role in the creation of the conditions for an inclusive growth, and the fight against social exclusion and poverty.</w:t>
      </w:r>
    </w:p>
    <w:tbl>
      <w:tblPr>
        <w:tblW w:w="6897" w:type="dxa"/>
        <w:jc w:val="center"/>
        <w:tblCellMar>
          <w:left w:w="70" w:type="dxa"/>
          <w:right w:w="70" w:type="dxa"/>
        </w:tblCellMar>
        <w:tblLook w:val="04A0" w:firstRow="1" w:lastRow="0" w:firstColumn="1" w:lastColumn="0" w:noHBand="0" w:noVBand="1"/>
      </w:tblPr>
      <w:tblGrid>
        <w:gridCol w:w="1866"/>
        <w:gridCol w:w="1021"/>
        <w:gridCol w:w="1203"/>
        <w:gridCol w:w="1371"/>
        <w:gridCol w:w="1436"/>
      </w:tblGrid>
      <w:tr w:rsidR="00EF56CA" w:rsidRPr="00FF17EC" w:rsidTr="00D93903">
        <w:trPr>
          <w:trHeight w:val="615"/>
          <w:jc w:val="center"/>
        </w:trPr>
        <w:tc>
          <w:tcPr>
            <w:tcW w:w="6897" w:type="dxa"/>
            <w:gridSpan w:val="5"/>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left"/>
              <w:rPr>
                <w:rFonts w:cs="Times New Roman"/>
                <w:color w:val="000000"/>
                <w:lang w:val="en-US" w:eastAsia="it-IT"/>
              </w:rPr>
            </w:pPr>
            <w:r w:rsidRPr="00FF17EC">
              <w:rPr>
                <w:rFonts w:cs="Times New Roman"/>
                <w:b/>
                <w:bCs/>
                <w:color w:val="000000"/>
                <w:lang w:val="en-US" w:eastAsia="it-IT"/>
              </w:rPr>
              <w:t xml:space="preserve">Indicators of health care services: units per 1000 inhabitants (2012) </w:t>
            </w:r>
          </w:p>
        </w:tc>
      </w:tr>
      <w:tr w:rsidR="00EF56CA" w:rsidRPr="00FF17EC" w:rsidTr="00D93903">
        <w:trPr>
          <w:trHeight w:val="645"/>
          <w:jc w:val="center"/>
        </w:trPr>
        <w:tc>
          <w:tcPr>
            <w:tcW w:w="1866" w:type="dxa"/>
            <w:tcBorders>
              <w:top w:val="single" w:sz="4" w:space="0" w:color="auto"/>
              <w:left w:val="nil"/>
              <w:bottom w:val="single" w:sz="4" w:space="0" w:color="auto"/>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b/>
                <w:bCs/>
                <w:i/>
                <w:iCs/>
                <w:color w:val="000000"/>
                <w:lang w:val="en-US" w:eastAsia="it-IT"/>
              </w:rPr>
            </w:pPr>
          </w:p>
        </w:tc>
        <w:tc>
          <w:tcPr>
            <w:tcW w:w="1021"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right"/>
              <w:rPr>
                <w:rFonts w:cs="Times New Roman"/>
                <w:b/>
                <w:bCs/>
                <w:lang w:val="it-IT" w:eastAsia="it-IT"/>
              </w:rPr>
            </w:pPr>
            <w:r w:rsidRPr="00FF17EC">
              <w:rPr>
                <w:rFonts w:cs="Times New Roman"/>
                <w:b/>
                <w:bCs/>
                <w:lang w:val="it-IT" w:eastAsia="it-IT"/>
              </w:rPr>
              <w:t>doctors</w:t>
            </w:r>
          </w:p>
        </w:tc>
        <w:tc>
          <w:tcPr>
            <w:tcW w:w="1203"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right"/>
              <w:rPr>
                <w:rFonts w:cs="Times New Roman"/>
                <w:b/>
                <w:bCs/>
                <w:lang w:val="it-IT" w:eastAsia="it-IT"/>
              </w:rPr>
            </w:pPr>
            <w:r w:rsidRPr="00FF17EC">
              <w:rPr>
                <w:rFonts w:cs="Times New Roman"/>
                <w:b/>
                <w:bCs/>
                <w:lang w:val="it-IT" w:eastAsia="it-IT"/>
              </w:rPr>
              <w:t>dentists</w:t>
            </w:r>
          </w:p>
        </w:tc>
        <w:tc>
          <w:tcPr>
            <w:tcW w:w="1371"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right"/>
              <w:rPr>
                <w:rFonts w:cs="Times New Roman"/>
                <w:b/>
                <w:bCs/>
                <w:lang w:val="it-IT" w:eastAsia="it-IT"/>
              </w:rPr>
            </w:pPr>
            <w:r w:rsidRPr="00FF17EC">
              <w:rPr>
                <w:rFonts w:cs="Times New Roman"/>
                <w:b/>
                <w:bCs/>
                <w:lang w:val="it-IT" w:eastAsia="it-IT"/>
              </w:rPr>
              <w:t>pharmacists</w:t>
            </w:r>
          </w:p>
        </w:tc>
        <w:tc>
          <w:tcPr>
            <w:tcW w:w="1436"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right"/>
              <w:rPr>
                <w:rFonts w:cs="Times New Roman"/>
                <w:b/>
                <w:bCs/>
                <w:lang w:val="it-IT" w:eastAsia="it-IT"/>
              </w:rPr>
            </w:pPr>
            <w:r w:rsidRPr="00FF17EC">
              <w:rPr>
                <w:rFonts w:cs="Times New Roman"/>
                <w:b/>
                <w:bCs/>
                <w:lang w:val="it-IT" w:eastAsia="it-IT"/>
              </w:rPr>
              <w:t>personnel in health sector</w:t>
            </w:r>
            <w:r w:rsidRPr="00FF17EC">
              <w:rPr>
                <w:rStyle w:val="FootnoteReference"/>
                <w:b/>
                <w:bCs/>
                <w:lang w:val="it-IT" w:eastAsia="it-IT"/>
              </w:rPr>
              <w:footnoteReference w:id="28"/>
            </w:r>
          </w:p>
        </w:tc>
      </w:tr>
      <w:tr w:rsidR="00EF56CA" w:rsidRPr="00FF17EC" w:rsidTr="00D93903">
        <w:trPr>
          <w:trHeight w:val="300"/>
          <w:jc w:val="center"/>
        </w:trPr>
        <w:tc>
          <w:tcPr>
            <w:tcW w:w="1866"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Timiş</w:t>
            </w:r>
          </w:p>
        </w:tc>
        <w:tc>
          <w:tcPr>
            <w:tcW w:w="1021"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5,21</w:t>
            </w:r>
          </w:p>
        </w:tc>
        <w:tc>
          <w:tcPr>
            <w:tcW w:w="120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1,28</w:t>
            </w:r>
          </w:p>
        </w:tc>
        <w:tc>
          <w:tcPr>
            <w:tcW w:w="1371"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0,95</w:t>
            </w:r>
          </w:p>
        </w:tc>
        <w:tc>
          <w:tcPr>
            <w:tcW w:w="143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7,92</w:t>
            </w:r>
          </w:p>
        </w:tc>
      </w:tr>
      <w:tr w:rsidR="00EF56CA" w:rsidRPr="00FF17EC" w:rsidTr="00D93903">
        <w:trPr>
          <w:trHeight w:val="315"/>
          <w:jc w:val="center"/>
        </w:trPr>
        <w:tc>
          <w:tcPr>
            <w:tcW w:w="1866"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Caraş-Severin</w:t>
            </w:r>
          </w:p>
        </w:tc>
        <w:tc>
          <w:tcPr>
            <w:tcW w:w="1021"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2,00</w:t>
            </w:r>
          </w:p>
        </w:tc>
        <w:tc>
          <w:tcPr>
            <w:tcW w:w="120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0,52</w:t>
            </w:r>
          </w:p>
        </w:tc>
        <w:tc>
          <w:tcPr>
            <w:tcW w:w="1371"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0,30</w:t>
            </w:r>
          </w:p>
        </w:tc>
        <w:tc>
          <w:tcPr>
            <w:tcW w:w="143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6,99</w:t>
            </w:r>
          </w:p>
        </w:tc>
      </w:tr>
      <w:tr w:rsidR="00EF56CA" w:rsidRPr="00FF17EC" w:rsidTr="00D93903">
        <w:trPr>
          <w:trHeight w:val="315"/>
          <w:jc w:val="center"/>
        </w:trPr>
        <w:tc>
          <w:tcPr>
            <w:tcW w:w="1866"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Mehedinţi</w:t>
            </w:r>
          </w:p>
        </w:tc>
        <w:tc>
          <w:tcPr>
            <w:tcW w:w="1021"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1,76</w:t>
            </w:r>
          </w:p>
        </w:tc>
        <w:tc>
          <w:tcPr>
            <w:tcW w:w="120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0,40</w:t>
            </w:r>
          </w:p>
        </w:tc>
        <w:tc>
          <w:tcPr>
            <w:tcW w:w="1371"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0,47</w:t>
            </w:r>
          </w:p>
        </w:tc>
        <w:tc>
          <w:tcPr>
            <w:tcW w:w="143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5,58</w:t>
            </w:r>
          </w:p>
        </w:tc>
      </w:tr>
      <w:tr w:rsidR="00EF56CA" w:rsidRPr="00FF17EC" w:rsidTr="00D93903">
        <w:trPr>
          <w:trHeight w:val="315"/>
          <w:jc w:val="center"/>
        </w:trPr>
        <w:tc>
          <w:tcPr>
            <w:tcW w:w="186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b/>
                <w:bCs/>
                <w:color w:val="000000"/>
                <w:lang w:val="it-IT" w:eastAsia="it-IT"/>
              </w:rPr>
            </w:pPr>
            <w:r w:rsidRPr="00FF17EC">
              <w:rPr>
                <w:rFonts w:cs="Times New Roman"/>
                <w:b/>
                <w:bCs/>
                <w:color w:val="000000"/>
                <w:lang w:val="it-IT" w:eastAsia="it-IT"/>
              </w:rPr>
              <w:t>ROMANIA</w:t>
            </w:r>
          </w:p>
        </w:tc>
        <w:tc>
          <w:tcPr>
            <w:tcW w:w="1021"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b/>
                <w:color w:val="000000"/>
                <w:lang w:val="it-IT" w:eastAsia="it-IT"/>
              </w:rPr>
            </w:pPr>
            <w:r w:rsidRPr="00FF17EC">
              <w:rPr>
                <w:rFonts w:cs="Times New Roman"/>
                <w:b/>
                <w:color w:val="000000"/>
                <w:lang w:val="it-IT" w:eastAsia="it-IT"/>
              </w:rPr>
              <w:t>2,45</w:t>
            </w:r>
          </w:p>
        </w:tc>
        <w:tc>
          <w:tcPr>
            <w:tcW w:w="120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b/>
                <w:color w:val="000000"/>
                <w:lang w:val="it-IT" w:eastAsia="it-IT"/>
              </w:rPr>
            </w:pPr>
            <w:r w:rsidRPr="00FF17EC">
              <w:rPr>
                <w:rFonts w:cs="Times New Roman"/>
                <w:b/>
                <w:color w:val="000000"/>
                <w:lang w:val="it-IT" w:eastAsia="it-IT"/>
              </w:rPr>
              <w:t>0,62</w:t>
            </w:r>
          </w:p>
        </w:tc>
        <w:tc>
          <w:tcPr>
            <w:tcW w:w="1371"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b/>
                <w:color w:val="000000"/>
                <w:lang w:val="it-IT" w:eastAsia="it-IT"/>
              </w:rPr>
            </w:pPr>
            <w:r w:rsidRPr="00FF17EC">
              <w:rPr>
                <w:rFonts w:cs="Times New Roman"/>
                <w:b/>
                <w:color w:val="000000"/>
                <w:lang w:val="it-IT" w:eastAsia="it-IT"/>
              </w:rPr>
              <w:t>0,68</w:t>
            </w:r>
          </w:p>
        </w:tc>
        <w:tc>
          <w:tcPr>
            <w:tcW w:w="143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b/>
                <w:color w:val="000000"/>
                <w:lang w:val="it-IT" w:eastAsia="it-IT"/>
              </w:rPr>
            </w:pPr>
            <w:r w:rsidRPr="00FF17EC">
              <w:rPr>
                <w:rFonts w:cs="Times New Roman"/>
                <w:b/>
                <w:color w:val="000000"/>
                <w:lang w:val="it-IT" w:eastAsia="it-IT"/>
              </w:rPr>
              <w:t>5,86</w:t>
            </w:r>
          </w:p>
        </w:tc>
      </w:tr>
      <w:tr w:rsidR="00D93903" w:rsidRPr="00FF17EC" w:rsidTr="00D93903">
        <w:trPr>
          <w:trHeight w:val="285"/>
          <w:jc w:val="center"/>
        </w:trPr>
        <w:tc>
          <w:tcPr>
            <w:tcW w:w="1866" w:type="dxa"/>
            <w:tcBorders>
              <w:top w:val="nil"/>
              <w:left w:val="nil"/>
              <w:bottom w:val="nil"/>
              <w:right w:val="nil"/>
            </w:tcBorders>
            <w:shd w:val="clear" w:color="auto" w:fill="auto"/>
            <w:vAlign w:val="bottom"/>
            <w:hideMark/>
          </w:tcPr>
          <w:p w:rsidR="00D93903" w:rsidRPr="00FF17EC" w:rsidRDefault="00D93903" w:rsidP="00D93903">
            <w:pPr>
              <w:keepNext/>
              <w:spacing w:after="0" w:line="240" w:lineRule="auto"/>
              <w:jc w:val="right"/>
              <w:rPr>
                <w:rFonts w:cs="Times New Roman"/>
                <w:lang w:val="it-IT" w:eastAsia="it-IT"/>
              </w:rPr>
            </w:pPr>
            <w:r w:rsidRPr="00FF17EC">
              <w:rPr>
                <w:rFonts w:cs="Times New Roman"/>
                <w:lang w:val="it-IT" w:eastAsia="it-IT"/>
              </w:rPr>
              <w:t>Severno-Banatski</w:t>
            </w:r>
          </w:p>
        </w:tc>
        <w:tc>
          <w:tcPr>
            <w:tcW w:w="1021" w:type="dxa"/>
            <w:tcBorders>
              <w:top w:val="nil"/>
              <w:left w:val="nil"/>
              <w:bottom w:val="nil"/>
              <w:right w:val="nil"/>
            </w:tcBorders>
            <w:shd w:val="clear" w:color="auto" w:fill="auto"/>
            <w:noWrap/>
            <w:vAlign w:val="bottom"/>
            <w:hideMark/>
          </w:tcPr>
          <w:p w:rsidR="00D93903" w:rsidRPr="00FF17EC" w:rsidRDefault="00D93903"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2,</w:t>
            </w:r>
            <w:r w:rsidR="00D404BC" w:rsidRPr="00FF17EC">
              <w:rPr>
                <w:rFonts w:cs="Times New Roman"/>
                <w:color w:val="000000"/>
                <w:lang w:val="it-IT" w:eastAsia="it-IT"/>
              </w:rPr>
              <w:t>31</w:t>
            </w:r>
          </w:p>
        </w:tc>
        <w:tc>
          <w:tcPr>
            <w:tcW w:w="1203" w:type="dxa"/>
            <w:tcBorders>
              <w:top w:val="nil"/>
              <w:left w:val="nil"/>
              <w:bottom w:val="nil"/>
              <w:right w:val="nil"/>
            </w:tcBorders>
            <w:shd w:val="clear" w:color="auto" w:fill="auto"/>
            <w:noWrap/>
            <w:vAlign w:val="bottom"/>
            <w:hideMark/>
          </w:tcPr>
          <w:p w:rsidR="00D93903" w:rsidRPr="00FF17EC" w:rsidRDefault="00D93903"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0,2</w:t>
            </w:r>
            <w:r w:rsidR="00D404BC" w:rsidRPr="00FF17EC">
              <w:rPr>
                <w:rFonts w:cs="Times New Roman"/>
                <w:color w:val="000000"/>
                <w:lang w:val="it-IT" w:eastAsia="it-IT"/>
              </w:rPr>
              <w:t>6</w:t>
            </w:r>
          </w:p>
        </w:tc>
        <w:tc>
          <w:tcPr>
            <w:tcW w:w="1371" w:type="dxa"/>
            <w:tcBorders>
              <w:top w:val="nil"/>
              <w:left w:val="nil"/>
              <w:bottom w:val="nil"/>
              <w:right w:val="nil"/>
            </w:tcBorders>
            <w:shd w:val="clear" w:color="auto" w:fill="auto"/>
            <w:noWrap/>
            <w:vAlign w:val="bottom"/>
            <w:hideMark/>
          </w:tcPr>
          <w:p w:rsidR="00D93903" w:rsidRPr="00FF17EC" w:rsidRDefault="00D93903"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w:t>
            </w:r>
            <w:r w:rsidR="00D404BC" w:rsidRPr="00FF17EC">
              <w:rPr>
                <w:rFonts w:cs="Times New Roman"/>
                <w:color w:val="000000"/>
                <w:lang w:val="it-IT" w:eastAsia="it-IT"/>
              </w:rPr>
              <w:t>21</w:t>
            </w:r>
          </w:p>
        </w:tc>
        <w:tc>
          <w:tcPr>
            <w:tcW w:w="1436" w:type="dxa"/>
            <w:tcBorders>
              <w:top w:val="nil"/>
              <w:left w:val="nil"/>
              <w:bottom w:val="nil"/>
              <w:right w:val="nil"/>
            </w:tcBorders>
            <w:shd w:val="clear" w:color="auto" w:fill="auto"/>
            <w:noWrap/>
            <w:vAlign w:val="bottom"/>
            <w:hideMark/>
          </w:tcPr>
          <w:p w:rsidR="00D93903" w:rsidRPr="00FF17EC" w:rsidRDefault="00D93903"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18,59</w:t>
            </w:r>
          </w:p>
        </w:tc>
      </w:tr>
      <w:tr w:rsidR="00D93903" w:rsidRPr="00FF17EC" w:rsidTr="00D93903">
        <w:trPr>
          <w:trHeight w:val="300"/>
          <w:jc w:val="center"/>
        </w:trPr>
        <w:tc>
          <w:tcPr>
            <w:tcW w:w="1866" w:type="dxa"/>
            <w:tcBorders>
              <w:top w:val="nil"/>
              <w:left w:val="nil"/>
              <w:bottom w:val="nil"/>
              <w:right w:val="nil"/>
            </w:tcBorders>
            <w:shd w:val="clear" w:color="auto" w:fill="auto"/>
            <w:vAlign w:val="bottom"/>
            <w:hideMark/>
          </w:tcPr>
          <w:p w:rsidR="00D93903" w:rsidRPr="00FF17EC" w:rsidRDefault="00D93903" w:rsidP="00D93903">
            <w:pPr>
              <w:keepNext/>
              <w:spacing w:after="0" w:line="240" w:lineRule="auto"/>
              <w:jc w:val="right"/>
              <w:rPr>
                <w:rFonts w:cs="Times New Roman"/>
                <w:lang w:val="it-IT" w:eastAsia="it-IT"/>
              </w:rPr>
            </w:pPr>
            <w:r w:rsidRPr="00FF17EC">
              <w:rPr>
                <w:rFonts w:cs="Times New Roman"/>
                <w:lang w:val="it-IT" w:eastAsia="it-IT"/>
              </w:rPr>
              <w:t>Srednje-Banatski</w:t>
            </w:r>
          </w:p>
        </w:tc>
        <w:tc>
          <w:tcPr>
            <w:tcW w:w="1021" w:type="dxa"/>
            <w:tcBorders>
              <w:top w:val="nil"/>
              <w:left w:val="nil"/>
              <w:bottom w:val="nil"/>
              <w:right w:val="nil"/>
            </w:tcBorders>
            <w:shd w:val="clear" w:color="auto" w:fill="auto"/>
            <w:noWrap/>
            <w:vAlign w:val="bottom"/>
            <w:hideMark/>
          </w:tcPr>
          <w:p w:rsidR="00D93903" w:rsidRPr="00FF17EC" w:rsidRDefault="00D404BC"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2</w:t>
            </w:r>
            <w:r w:rsidR="00D93903" w:rsidRPr="00FF17EC">
              <w:rPr>
                <w:rFonts w:cs="Times New Roman"/>
                <w:color w:val="000000"/>
                <w:lang w:val="it-IT" w:eastAsia="it-IT"/>
              </w:rPr>
              <w:t>,</w:t>
            </w:r>
            <w:r w:rsidRPr="00FF17EC">
              <w:rPr>
                <w:rFonts w:cs="Times New Roman"/>
                <w:color w:val="000000"/>
                <w:lang w:val="it-IT" w:eastAsia="it-IT"/>
              </w:rPr>
              <w:t>27</w:t>
            </w:r>
          </w:p>
        </w:tc>
        <w:tc>
          <w:tcPr>
            <w:tcW w:w="1203" w:type="dxa"/>
            <w:tcBorders>
              <w:top w:val="nil"/>
              <w:left w:val="nil"/>
              <w:bottom w:val="nil"/>
              <w:right w:val="nil"/>
            </w:tcBorders>
            <w:shd w:val="clear" w:color="auto" w:fill="auto"/>
            <w:noWrap/>
            <w:vAlign w:val="bottom"/>
            <w:hideMark/>
          </w:tcPr>
          <w:p w:rsidR="00D93903" w:rsidRPr="00FF17EC" w:rsidRDefault="00D93903"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w:t>
            </w:r>
            <w:r w:rsidR="00D404BC" w:rsidRPr="00FF17EC">
              <w:rPr>
                <w:rFonts w:cs="Times New Roman"/>
                <w:color w:val="000000"/>
                <w:lang w:val="it-IT" w:eastAsia="it-IT"/>
              </w:rPr>
              <w:t>30</w:t>
            </w:r>
          </w:p>
        </w:tc>
        <w:tc>
          <w:tcPr>
            <w:tcW w:w="1371" w:type="dxa"/>
            <w:tcBorders>
              <w:top w:val="nil"/>
              <w:left w:val="nil"/>
              <w:bottom w:val="nil"/>
              <w:right w:val="nil"/>
            </w:tcBorders>
            <w:shd w:val="clear" w:color="auto" w:fill="auto"/>
            <w:noWrap/>
            <w:vAlign w:val="bottom"/>
            <w:hideMark/>
          </w:tcPr>
          <w:p w:rsidR="00D93903" w:rsidRPr="00FF17EC" w:rsidRDefault="00D93903"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w:t>
            </w:r>
            <w:r w:rsidR="00D404BC" w:rsidRPr="00FF17EC">
              <w:rPr>
                <w:rFonts w:cs="Times New Roman"/>
                <w:color w:val="000000"/>
                <w:lang w:val="it-IT" w:eastAsia="it-IT"/>
              </w:rPr>
              <w:t>39</w:t>
            </w:r>
          </w:p>
        </w:tc>
        <w:tc>
          <w:tcPr>
            <w:tcW w:w="1436" w:type="dxa"/>
            <w:tcBorders>
              <w:top w:val="nil"/>
              <w:left w:val="nil"/>
              <w:bottom w:val="nil"/>
              <w:right w:val="nil"/>
            </w:tcBorders>
            <w:shd w:val="clear" w:color="auto" w:fill="auto"/>
            <w:noWrap/>
            <w:vAlign w:val="bottom"/>
            <w:hideMark/>
          </w:tcPr>
          <w:p w:rsidR="00D93903" w:rsidRPr="00FF17EC" w:rsidRDefault="00D93903"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18,35</w:t>
            </w:r>
          </w:p>
        </w:tc>
      </w:tr>
      <w:tr w:rsidR="00D93903" w:rsidRPr="00FF17EC" w:rsidTr="00D93903">
        <w:trPr>
          <w:trHeight w:val="300"/>
          <w:jc w:val="center"/>
        </w:trPr>
        <w:tc>
          <w:tcPr>
            <w:tcW w:w="1866" w:type="dxa"/>
            <w:tcBorders>
              <w:top w:val="nil"/>
              <w:left w:val="nil"/>
              <w:bottom w:val="nil"/>
              <w:right w:val="nil"/>
            </w:tcBorders>
            <w:shd w:val="clear" w:color="auto" w:fill="auto"/>
            <w:vAlign w:val="bottom"/>
            <w:hideMark/>
          </w:tcPr>
          <w:p w:rsidR="00D93903" w:rsidRPr="00FF17EC" w:rsidRDefault="00D93903" w:rsidP="00D93903">
            <w:pPr>
              <w:keepNext/>
              <w:spacing w:after="0" w:line="240" w:lineRule="auto"/>
              <w:jc w:val="right"/>
              <w:rPr>
                <w:rFonts w:cs="Times New Roman"/>
                <w:lang w:val="it-IT" w:eastAsia="it-IT"/>
              </w:rPr>
            </w:pPr>
            <w:r w:rsidRPr="00FF17EC">
              <w:rPr>
                <w:rFonts w:cs="Times New Roman"/>
                <w:lang w:val="it-IT" w:eastAsia="it-IT"/>
              </w:rPr>
              <w:t>Južno-Banatski</w:t>
            </w:r>
          </w:p>
        </w:tc>
        <w:tc>
          <w:tcPr>
            <w:tcW w:w="1021" w:type="dxa"/>
            <w:tcBorders>
              <w:top w:val="nil"/>
              <w:left w:val="nil"/>
              <w:bottom w:val="nil"/>
              <w:right w:val="nil"/>
            </w:tcBorders>
            <w:shd w:val="clear" w:color="auto" w:fill="auto"/>
            <w:noWrap/>
            <w:vAlign w:val="bottom"/>
            <w:hideMark/>
          </w:tcPr>
          <w:p w:rsidR="00D93903" w:rsidRPr="00FF17EC" w:rsidRDefault="00D93903"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2,</w:t>
            </w:r>
            <w:r w:rsidR="00D404BC" w:rsidRPr="00FF17EC">
              <w:rPr>
                <w:rFonts w:cs="Times New Roman"/>
                <w:color w:val="000000"/>
                <w:lang w:val="it-IT" w:eastAsia="it-IT"/>
              </w:rPr>
              <w:t>53</w:t>
            </w:r>
          </w:p>
        </w:tc>
        <w:tc>
          <w:tcPr>
            <w:tcW w:w="1203" w:type="dxa"/>
            <w:tcBorders>
              <w:top w:val="nil"/>
              <w:left w:val="nil"/>
              <w:bottom w:val="nil"/>
              <w:right w:val="nil"/>
            </w:tcBorders>
            <w:shd w:val="clear" w:color="auto" w:fill="auto"/>
            <w:noWrap/>
            <w:vAlign w:val="bottom"/>
            <w:hideMark/>
          </w:tcPr>
          <w:p w:rsidR="00D93903" w:rsidRPr="00FF17EC" w:rsidRDefault="00D93903"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w:t>
            </w:r>
            <w:r w:rsidR="00D404BC" w:rsidRPr="00FF17EC">
              <w:rPr>
                <w:rFonts w:cs="Times New Roman"/>
                <w:color w:val="000000"/>
                <w:lang w:val="it-IT" w:eastAsia="it-IT"/>
              </w:rPr>
              <w:t>30</w:t>
            </w:r>
          </w:p>
        </w:tc>
        <w:tc>
          <w:tcPr>
            <w:tcW w:w="1371" w:type="dxa"/>
            <w:tcBorders>
              <w:top w:val="nil"/>
              <w:left w:val="nil"/>
              <w:bottom w:val="nil"/>
              <w:right w:val="nil"/>
            </w:tcBorders>
            <w:shd w:val="clear" w:color="auto" w:fill="auto"/>
            <w:noWrap/>
            <w:vAlign w:val="bottom"/>
            <w:hideMark/>
          </w:tcPr>
          <w:p w:rsidR="00D93903" w:rsidRPr="00FF17EC" w:rsidRDefault="00D93903"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w:t>
            </w:r>
            <w:r w:rsidR="00D404BC" w:rsidRPr="00FF17EC">
              <w:rPr>
                <w:rFonts w:cs="Times New Roman"/>
                <w:color w:val="000000"/>
                <w:lang w:val="it-IT" w:eastAsia="it-IT"/>
              </w:rPr>
              <w:t>26</w:t>
            </w:r>
          </w:p>
        </w:tc>
        <w:tc>
          <w:tcPr>
            <w:tcW w:w="1436" w:type="dxa"/>
            <w:tcBorders>
              <w:top w:val="nil"/>
              <w:left w:val="nil"/>
              <w:bottom w:val="nil"/>
              <w:right w:val="nil"/>
            </w:tcBorders>
            <w:shd w:val="clear" w:color="auto" w:fill="auto"/>
            <w:noWrap/>
            <w:vAlign w:val="bottom"/>
            <w:hideMark/>
          </w:tcPr>
          <w:p w:rsidR="00D93903" w:rsidRPr="00FF17EC" w:rsidRDefault="00D93903"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18,38</w:t>
            </w:r>
          </w:p>
        </w:tc>
      </w:tr>
      <w:tr w:rsidR="004B16D4" w:rsidRPr="00FF17EC" w:rsidTr="00D93903">
        <w:trPr>
          <w:trHeight w:val="300"/>
          <w:jc w:val="center"/>
        </w:trPr>
        <w:tc>
          <w:tcPr>
            <w:tcW w:w="1866" w:type="dxa"/>
            <w:tcBorders>
              <w:top w:val="nil"/>
              <w:left w:val="nil"/>
              <w:bottom w:val="nil"/>
              <w:right w:val="nil"/>
            </w:tcBorders>
            <w:shd w:val="clear" w:color="auto" w:fill="auto"/>
            <w:vAlign w:val="bottom"/>
          </w:tcPr>
          <w:p w:rsidR="004B16D4" w:rsidRPr="00FF17EC" w:rsidRDefault="004B16D4"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Podunavski</w:t>
            </w:r>
          </w:p>
        </w:tc>
        <w:tc>
          <w:tcPr>
            <w:tcW w:w="1021" w:type="dxa"/>
            <w:tcBorders>
              <w:top w:val="nil"/>
              <w:left w:val="nil"/>
              <w:bottom w:val="nil"/>
              <w:right w:val="nil"/>
            </w:tcBorders>
            <w:shd w:val="clear" w:color="auto" w:fill="auto"/>
            <w:noWrap/>
            <w:vAlign w:val="bottom"/>
          </w:tcPr>
          <w:p w:rsidR="004B16D4" w:rsidRPr="00FF17EC" w:rsidRDefault="00D404BC"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2,21</w:t>
            </w:r>
          </w:p>
        </w:tc>
        <w:tc>
          <w:tcPr>
            <w:tcW w:w="1203" w:type="dxa"/>
            <w:tcBorders>
              <w:top w:val="nil"/>
              <w:left w:val="nil"/>
              <w:bottom w:val="nil"/>
              <w:right w:val="nil"/>
            </w:tcBorders>
            <w:shd w:val="clear" w:color="auto" w:fill="auto"/>
            <w:noWrap/>
            <w:vAlign w:val="bottom"/>
          </w:tcPr>
          <w:p w:rsidR="004B16D4" w:rsidRPr="00FF17EC" w:rsidRDefault="00D404BC"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0,31</w:t>
            </w:r>
          </w:p>
        </w:tc>
        <w:tc>
          <w:tcPr>
            <w:tcW w:w="1371" w:type="dxa"/>
            <w:tcBorders>
              <w:top w:val="nil"/>
              <w:left w:val="nil"/>
              <w:bottom w:val="nil"/>
              <w:right w:val="nil"/>
            </w:tcBorders>
            <w:shd w:val="clear" w:color="auto" w:fill="auto"/>
            <w:noWrap/>
            <w:vAlign w:val="bottom"/>
          </w:tcPr>
          <w:p w:rsidR="004B16D4" w:rsidRPr="00FF17EC" w:rsidRDefault="00D404BC"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0,25</w:t>
            </w:r>
          </w:p>
        </w:tc>
        <w:tc>
          <w:tcPr>
            <w:tcW w:w="1436" w:type="dxa"/>
            <w:tcBorders>
              <w:top w:val="nil"/>
              <w:left w:val="nil"/>
              <w:bottom w:val="nil"/>
              <w:right w:val="nil"/>
            </w:tcBorders>
            <w:shd w:val="clear" w:color="auto" w:fill="auto"/>
            <w:noWrap/>
            <w:vAlign w:val="bottom"/>
          </w:tcPr>
          <w:p w:rsidR="004B16D4" w:rsidRPr="00FF17EC" w:rsidRDefault="004B16D4" w:rsidP="006433A2">
            <w:pPr>
              <w:keepNext/>
              <w:spacing w:after="0" w:line="240" w:lineRule="auto"/>
              <w:jc w:val="right"/>
              <w:rPr>
                <w:rFonts w:cs="Times New Roman"/>
                <w:color w:val="000000"/>
                <w:lang w:val="it-IT" w:eastAsia="it-IT"/>
              </w:rPr>
            </w:pPr>
          </w:p>
        </w:tc>
      </w:tr>
      <w:tr w:rsidR="00EF56CA" w:rsidRPr="00FF17EC" w:rsidTr="00D93903">
        <w:trPr>
          <w:trHeight w:val="300"/>
          <w:jc w:val="center"/>
        </w:trPr>
        <w:tc>
          <w:tcPr>
            <w:tcW w:w="1866"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Braničevski</w:t>
            </w:r>
          </w:p>
        </w:tc>
        <w:tc>
          <w:tcPr>
            <w:tcW w:w="1021" w:type="dxa"/>
            <w:tcBorders>
              <w:top w:val="nil"/>
              <w:left w:val="nil"/>
              <w:bottom w:val="nil"/>
              <w:right w:val="nil"/>
            </w:tcBorders>
            <w:shd w:val="clear" w:color="auto" w:fill="auto"/>
            <w:noWrap/>
            <w:vAlign w:val="bottom"/>
            <w:hideMark/>
          </w:tcPr>
          <w:p w:rsidR="00EF56CA" w:rsidRPr="00FF17EC" w:rsidRDefault="00EF56CA"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2,</w:t>
            </w:r>
            <w:r w:rsidR="00D404BC" w:rsidRPr="00FF17EC">
              <w:rPr>
                <w:rFonts w:cs="Times New Roman"/>
                <w:color w:val="000000"/>
                <w:lang w:val="it-IT" w:eastAsia="it-IT"/>
              </w:rPr>
              <w:t>45</w:t>
            </w:r>
          </w:p>
        </w:tc>
        <w:tc>
          <w:tcPr>
            <w:tcW w:w="1203" w:type="dxa"/>
            <w:tcBorders>
              <w:top w:val="nil"/>
              <w:left w:val="nil"/>
              <w:bottom w:val="nil"/>
              <w:right w:val="nil"/>
            </w:tcBorders>
            <w:shd w:val="clear" w:color="auto" w:fill="auto"/>
            <w:noWrap/>
            <w:vAlign w:val="bottom"/>
            <w:hideMark/>
          </w:tcPr>
          <w:p w:rsidR="00EF56CA" w:rsidRPr="00FF17EC" w:rsidRDefault="00EF56CA"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0,2</w:t>
            </w:r>
            <w:r w:rsidR="00D404BC" w:rsidRPr="00FF17EC">
              <w:rPr>
                <w:rFonts w:cs="Times New Roman"/>
                <w:color w:val="000000"/>
                <w:lang w:val="it-IT" w:eastAsia="it-IT"/>
              </w:rPr>
              <w:t>3</w:t>
            </w:r>
          </w:p>
        </w:tc>
        <w:tc>
          <w:tcPr>
            <w:tcW w:w="1371" w:type="dxa"/>
            <w:tcBorders>
              <w:top w:val="nil"/>
              <w:left w:val="nil"/>
              <w:bottom w:val="nil"/>
              <w:right w:val="nil"/>
            </w:tcBorders>
            <w:shd w:val="clear" w:color="auto" w:fill="auto"/>
            <w:noWrap/>
            <w:vAlign w:val="bottom"/>
            <w:hideMark/>
          </w:tcPr>
          <w:p w:rsidR="00EF56CA" w:rsidRPr="00FF17EC" w:rsidRDefault="00EF56CA"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w:t>
            </w:r>
            <w:r w:rsidR="00D404BC" w:rsidRPr="00FF17EC">
              <w:rPr>
                <w:rFonts w:cs="Times New Roman"/>
                <w:color w:val="000000"/>
                <w:lang w:val="it-IT" w:eastAsia="it-IT"/>
              </w:rPr>
              <w:t>30</w:t>
            </w:r>
          </w:p>
        </w:tc>
        <w:tc>
          <w:tcPr>
            <w:tcW w:w="143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17,36</w:t>
            </w:r>
          </w:p>
        </w:tc>
      </w:tr>
      <w:tr w:rsidR="00EF56CA" w:rsidRPr="00FF17EC" w:rsidTr="00D93903">
        <w:trPr>
          <w:trHeight w:val="300"/>
          <w:jc w:val="center"/>
        </w:trPr>
        <w:tc>
          <w:tcPr>
            <w:tcW w:w="1866" w:type="dxa"/>
            <w:tcBorders>
              <w:top w:val="nil"/>
              <w:left w:val="nil"/>
              <w:bottom w:val="nil"/>
              <w:right w:val="nil"/>
            </w:tcBorders>
            <w:shd w:val="clear" w:color="auto" w:fill="auto"/>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Borski</w:t>
            </w:r>
          </w:p>
        </w:tc>
        <w:tc>
          <w:tcPr>
            <w:tcW w:w="1021" w:type="dxa"/>
            <w:tcBorders>
              <w:top w:val="nil"/>
              <w:left w:val="nil"/>
              <w:bottom w:val="nil"/>
              <w:right w:val="nil"/>
            </w:tcBorders>
            <w:shd w:val="clear" w:color="auto" w:fill="auto"/>
            <w:noWrap/>
            <w:vAlign w:val="bottom"/>
            <w:hideMark/>
          </w:tcPr>
          <w:p w:rsidR="00EF56CA" w:rsidRPr="00FF17EC" w:rsidRDefault="00D404BC"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3</w:t>
            </w:r>
            <w:r w:rsidR="00EF56CA" w:rsidRPr="00FF17EC">
              <w:rPr>
                <w:rFonts w:cs="Times New Roman"/>
                <w:color w:val="000000"/>
                <w:lang w:val="it-IT" w:eastAsia="it-IT"/>
              </w:rPr>
              <w:t>,</w:t>
            </w:r>
            <w:r w:rsidRPr="00FF17EC">
              <w:rPr>
                <w:rFonts w:cs="Times New Roman"/>
                <w:color w:val="000000"/>
                <w:lang w:val="it-IT" w:eastAsia="it-IT"/>
              </w:rPr>
              <w:t>33</w:t>
            </w:r>
          </w:p>
        </w:tc>
        <w:tc>
          <w:tcPr>
            <w:tcW w:w="1203" w:type="dxa"/>
            <w:tcBorders>
              <w:top w:val="nil"/>
              <w:left w:val="nil"/>
              <w:bottom w:val="nil"/>
              <w:right w:val="nil"/>
            </w:tcBorders>
            <w:shd w:val="clear" w:color="auto" w:fill="auto"/>
            <w:noWrap/>
            <w:vAlign w:val="bottom"/>
            <w:hideMark/>
          </w:tcPr>
          <w:p w:rsidR="00EF56CA" w:rsidRPr="00FF17EC" w:rsidRDefault="00EF56CA"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w:t>
            </w:r>
            <w:r w:rsidR="00D404BC" w:rsidRPr="00FF17EC">
              <w:rPr>
                <w:rFonts w:cs="Times New Roman"/>
                <w:color w:val="000000"/>
                <w:lang w:val="it-IT" w:eastAsia="it-IT"/>
              </w:rPr>
              <w:t>32</w:t>
            </w:r>
          </w:p>
        </w:tc>
        <w:tc>
          <w:tcPr>
            <w:tcW w:w="1371" w:type="dxa"/>
            <w:tcBorders>
              <w:top w:val="nil"/>
              <w:left w:val="nil"/>
              <w:bottom w:val="nil"/>
              <w:right w:val="nil"/>
            </w:tcBorders>
            <w:shd w:val="clear" w:color="auto" w:fill="auto"/>
            <w:noWrap/>
            <w:vAlign w:val="bottom"/>
            <w:hideMark/>
          </w:tcPr>
          <w:p w:rsidR="00EF56CA" w:rsidRPr="00FF17EC" w:rsidRDefault="00EF56CA" w:rsidP="00D404BC">
            <w:pPr>
              <w:keepNext/>
              <w:spacing w:after="0" w:line="240" w:lineRule="auto"/>
              <w:jc w:val="right"/>
              <w:rPr>
                <w:rFonts w:cs="Times New Roman"/>
                <w:color w:val="000000"/>
                <w:lang w:val="it-IT" w:eastAsia="it-IT"/>
              </w:rPr>
            </w:pPr>
            <w:r w:rsidRPr="00FF17EC">
              <w:rPr>
                <w:rFonts w:cs="Times New Roman"/>
                <w:color w:val="000000"/>
                <w:lang w:val="it-IT" w:eastAsia="it-IT"/>
              </w:rPr>
              <w:t>0,</w:t>
            </w:r>
            <w:r w:rsidR="00D404BC" w:rsidRPr="00FF17EC">
              <w:rPr>
                <w:rFonts w:cs="Times New Roman"/>
                <w:color w:val="000000"/>
                <w:lang w:val="it-IT" w:eastAsia="it-IT"/>
              </w:rPr>
              <w:t>31</w:t>
            </w:r>
          </w:p>
        </w:tc>
        <w:tc>
          <w:tcPr>
            <w:tcW w:w="1436"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color w:val="000000"/>
                <w:lang w:val="it-IT" w:eastAsia="it-IT"/>
              </w:rPr>
            </w:pPr>
            <w:r w:rsidRPr="00FF17EC">
              <w:rPr>
                <w:rFonts w:cs="Times New Roman"/>
                <w:color w:val="000000"/>
                <w:lang w:val="it-IT" w:eastAsia="it-IT"/>
              </w:rPr>
              <w:t>20,70</w:t>
            </w:r>
          </w:p>
        </w:tc>
      </w:tr>
      <w:tr w:rsidR="00EF56CA" w:rsidRPr="00FF17EC" w:rsidTr="00D93903">
        <w:trPr>
          <w:trHeight w:val="300"/>
          <w:jc w:val="center"/>
        </w:trPr>
        <w:tc>
          <w:tcPr>
            <w:tcW w:w="1866" w:type="dxa"/>
            <w:tcBorders>
              <w:top w:val="nil"/>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right"/>
              <w:rPr>
                <w:rFonts w:cs="Times New Roman"/>
                <w:b/>
                <w:bCs/>
                <w:color w:val="000000"/>
                <w:lang w:val="it-IT" w:eastAsia="it-IT"/>
              </w:rPr>
            </w:pPr>
            <w:r w:rsidRPr="00FF17EC">
              <w:rPr>
                <w:rFonts w:cs="Times New Roman"/>
                <w:b/>
                <w:bCs/>
                <w:color w:val="000000"/>
                <w:lang w:val="it-IT" w:eastAsia="it-IT"/>
              </w:rPr>
              <w:t>SERBIA</w:t>
            </w:r>
          </w:p>
        </w:tc>
        <w:tc>
          <w:tcPr>
            <w:tcW w:w="1021" w:type="dxa"/>
            <w:tcBorders>
              <w:top w:val="nil"/>
              <w:left w:val="nil"/>
              <w:bottom w:val="single" w:sz="4" w:space="0" w:color="auto"/>
              <w:right w:val="nil"/>
            </w:tcBorders>
            <w:shd w:val="clear" w:color="auto" w:fill="auto"/>
            <w:noWrap/>
            <w:vAlign w:val="bottom"/>
            <w:hideMark/>
          </w:tcPr>
          <w:p w:rsidR="00EF56CA" w:rsidRPr="00FF17EC" w:rsidRDefault="00EF56CA" w:rsidP="00D404BC">
            <w:pPr>
              <w:keepNext/>
              <w:spacing w:after="0" w:line="240" w:lineRule="auto"/>
              <w:jc w:val="right"/>
              <w:rPr>
                <w:rFonts w:cs="Times New Roman"/>
                <w:b/>
                <w:color w:val="000000"/>
                <w:lang w:val="it-IT" w:eastAsia="it-IT"/>
              </w:rPr>
            </w:pPr>
            <w:r w:rsidRPr="00FF17EC">
              <w:rPr>
                <w:rFonts w:cs="Times New Roman"/>
                <w:b/>
                <w:color w:val="000000"/>
                <w:lang w:val="it-IT" w:eastAsia="it-IT"/>
              </w:rPr>
              <w:t>2,</w:t>
            </w:r>
            <w:r w:rsidR="00D404BC" w:rsidRPr="00FF17EC">
              <w:rPr>
                <w:rFonts w:cs="Times New Roman"/>
                <w:b/>
                <w:color w:val="000000"/>
                <w:lang w:val="it-IT" w:eastAsia="it-IT"/>
              </w:rPr>
              <w:t>93</w:t>
            </w:r>
          </w:p>
        </w:tc>
        <w:tc>
          <w:tcPr>
            <w:tcW w:w="1203" w:type="dxa"/>
            <w:tcBorders>
              <w:top w:val="nil"/>
              <w:left w:val="nil"/>
              <w:bottom w:val="single" w:sz="4" w:space="0" w:color="auto"/>
              <w:right w:val="nil"/>
            </w:tcBorders>
            <w:shd w:val="clear" w:color="auto" w:fill="auto"/>
            <w:noWrap/>
            <w:vAlign w:val="bottom"/>
            <w:hideMark/>
          </w:tcPr>
          <w:p w:rsidR="00EF56CA" w:rsidRPr="00FF17EC" w:rsidRDefault="00EF56CA" w:rsidP="00D404BC">
            <w:pPr>
              <w:keepNext/>
              <w:spacing w:after="0" w:line="240" w:lineRule="auto"/>
              <w:jc w:val="right"/>
              <w:rPr>
                <w:rFonts w:cs="Times New Roman"/>
                <w:b/>
                <w:color w:val="000000"/>
                <w:lang w:val="it-IT" w:eastAsia="it-IT"/>
              </w:rPr>
            </w:pPr>
            <w:r w:rsidRPr="00FF17EC">
              <w:rPr>
                <w:rFonts w:cs="Times New Roman"/>
                <w:b/>
                <w:color w:val="000000"/>
                <w:lang w:val="it-IT" w:eastAsia="it-IT"/>
              </w:rPr>
              <w:t>0,3</w:t>
            </w:r>
            <w:r w:rsidR="00D404BC" w:rsidRPr="00FF17EC">
              <w:rPr>
                <w:rFonts w:cs="Times New Roman"/>
                <w:b/>
                <w:color w:val="000000"/>
                <w:lang w:val="it-IT" w:eastAsia="it-IT"/>
              </w:rPr>
              <w:t>1</w:t>
            </w:r>
          </w:p>
        </w:tc>
        <w:tc>
          <w:tcPr>
            <w:tcW w:w="1371" w:type="dxa"/>
            <w:tcBorders>
              <w:top w:val="nil"/>
              <w:left w:val="nil"/>
              <w:bottom w:val="single" w:sz="4" w:space="0" w:color="auto"/>
              <w:right w:val="nil"/>
            </w:tcBorders>
            <w:shd w:val="clear" w:color="auto" w:fill="auto"/>
            <w:noWrap/>
            <w:vAlign w:val="bottom"/>
            <w:hideMark/>
          </w:tcPr>
          <w:p w:rsidR="00EF56CA" w:rsidRPr="00FF17EC" w:rsidRDefault="00EF56CA" w:rsidP="0001482D">
            <w:pPr>
              <w:keepNext/>
              <w:spacing w:after="0" w:line="240" w:lineRule="auto"/>
              <w:jc w:val="right"/>
              <w:rPr>
                <w:rFonts w:cs="Times New Roman"/>
                <w:b/>
                <w:color w:val="000000"/>
                <w:lang w:val="it-IT" w:eastAsia="it-IT"/>
              </w:rPr>
            </w:pPr>
            <w:r w:rsidRPr="00FF17EC">
              <w:rPr>
                <w:rFonts w:cs="Times New Roman"/>
                <w:b/>
                <w:color w:val="000000"/>
                <w:lang w:val="it-IT" w:eastAsia="it-IT"/>
              </w:rPr>
              <w:t>0,</w:t>
            </w:r>
            <w:r w:rsidR="0001482D" w:rsidRPr="00FF17EC">
              <w:rPr>
                <w:rFonts w:cs="Times New Roman"/>
                <w:b/>
                <w:color w:val="000000"/>
                <w:lang w:val="it-IT" w:eastAsia="it-IT"/>
              </w:rPr>
              <w:t>30</w:t>
            </w:r>
          </w:p>
        </w:tc>
        <w:tc>
          <w:tcPr>
            <w:tcW w:w="1436" w:type="dxa"/>
            <w:tcBorders>
              <w:top w:val="nil"/>
              <w:left w:val="nil"/>
              <w:bottom w:val="single" w:sz="4" w:space="0" w:color="auto"/>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b/>
                <w:color w:val="000000"/>
                <w:lang w:val="it-IT" w:eastAsia="it-IT"/>
              </w:rPr>
            </w:pPr>
            <w:r w:rsidRPr="00FF17EC">
              <w:rPr>
                <w:rFonts w:cs="Times New Roman"/>
                <w:b/>
                <w:color w:val="000000"/>
                <w:lang w:val="it-IT" w:eastAsia="it-IT"/>
              </w:rPr>
              <w:t>21,47</w:t>
            </w:r>
          </w:p>
        </w:tc>
      </w:tr>
    </w:tbl>
    <w:p w:rsidR="00EF56CA" w:rsidRPr="00FF17EC" w:rsidRDefault="00EF56CA" w:rsidP="00EF56CA">
      <w:pPr>
        <w:pStyle w:val="Caption"/>
        <w:ind w:left="1276"/>
        <w:rPr>
          <w:b w:val="0"/>
        </w:rPr>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6</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1</w:t>
      </w:r>
      <w:r w:rsidR="00085686" w:rsidRPr="00FF17EC">
        <w:rPr>
          <w:noProof/>
        </w:rPr>
        <w:fldChar w:fldCharType="end"/>
      </w:r>
      <w:r w:rsidR="00393059" w:rsidRPr="00FF17EC">
        <w:t xml:space="preserve"> </w:t>
      </w:r>
      <w:r w:rsidRPr="00FF17EC">
        <w:t>Health care services indicators Nis Serbia and Romania</w:t>
      </w:r>
    </w:p>
    <w:p w:rsidR="00EF56CA" w:rsidRPr="00FF17EC" w:rsidRDefault="00EF56CA" w:rsidP="00EF56CA"/>
    <w:p w:rsidR="00EF56CA" w:rsidRPr="00FF17EC" w:rsidRDefault="00EF56CA" w:rsidP="00EF56CA">
      <w:r w:rsidRPr="00FF17EC">
        <w:t>In the eligible area the availability of health care services, as signalled by the indicator of number of doctors, and by the others available is relatively homogenous, roughly one doctor per each 50 inhabitants, with one execption that is that of Timisoara, where the concentration of health care service centres is close to the double in then in the rest of the eligible area.</w:t>
      </w:r>
    </w:p>
    <w:p w:rsidR="00EF56CA" w:rsidRPr="00FF17EC" w:rsidRDefault="00EF56CA" w:rsidP="00EF56CA">
      <w:r w:rsidRPr="00FF17EC">
        <w:lastRenderedPageBreak/>
        <w:t xml:space="preserve">University centres of Medicine are located In Timisoara, inside the eligible area, and in Novi Sad, Belgrade, Nis at the edge of the area in Serbia. </w:t>
      </w:r>
    </w:p>
    <w:p w:rsidR="00EF56CA" w:rsidRPr="00FF17EC" w:rsidRDefault="00EF56CA" w:rsidP="00EF56CA">
      <w:r w:rsidRPr="00FF17EC">
        <w:t>In recent years, according to the information provided by the local stakeholders, an intensive growth of private centres for health care services, including private hospitals, have been developing all over the eligible area, in particular in the main urban centres. This process could lead to a larger disparity in the accessibility of health care services among urban and rural population, and active and non active groups (elders,</w:t>
      </w:r>
      <w:r w:rsidR="00634723" w:rsidRPr="00FF17EC">
        <w:t xml:space="preserve"> </w:t>
      </w:r>
      <w:r w:rsidRPr="00FF17EC">
        <w:t xml:space="preserve">disadvantaged groups). </w:t>
      </w:r>
    </w:p>
    <w:p w:rsidR="0083703A" w:rsidRPr="00FF17EC" w:rsidRDefault="0083703A" w:rsidP="00EF56CA">
      <w:pPr>
        <w:keepNext/>
        <w:spacing w:after="0"/>
      </w:pPr>
      <w:r w:rsidRPr="00FF17EC">
        <w:rPr>
          <w:noProof/>
          <w:lang w:eastAsia="en-GB"/>
        </w:rPr>
        <w:drawing>
          <wp:inline distT="0" distB="0" distL="0" distR="0">
            <wp:extent cx="5314950" cy="2743200"/>
            <wp:effectExtent l="0" t="0" r="19050" b="1905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F56CA" w:rsidRPr="00FF17EC" w:rsidRDefault="00EF56CA" w:rsidP="00EF56CA">
      <w:pPr>
        <w:pStyle w:val="Caption"/>
      </w:pPr>
      <w:r w:rsidRPr="00FF17EC">
        <w:t xml:space="preserve">Graph </w:t>
      </w:r>
      <w:r w:rsidR="00393059" w:rsidRPr="00FF17EC">
        <w:t>6</w:t>
      </w:r>
      <w:r w:rsidRPr="00FF17EC">
        <w:noBreakHyphen/>
      </w:r>
      <w:r w:rsidR="00085686" w:rsidRPr="00FF17EC">
        <w:fldChar w:fldCharType="begin"/>
      </w:r>
      <w:r w:rsidR="00EE702C" w:rsidRPr="00FF17EC">
        <w:instrText xml:space="preserve"> SEQ Graph \* ARABIC \s 1 </w:instrText>
      </w:r>
      <w:r w:rsidR="00085686" w:rsidRPr="00FF17EC">
        <w:fldChar w:fldCharType="separate"/>
      </w:r>
      <w:r w:rsidR="009737E5">
        <w:rPr>
          <w:noProof/>
        </w:rPr>
        <w:t>1</w:t>
      </w:r>
      <w:r w:rsidR="00085686" w:rsidRPr="00FF17EC">
        <w:rPr>
          <w:noProof/>
        </w:rPr>
        <w:fldChar w:fldCharType="end"/>
      </w:r>
      <w:r w:rsidRPr="00FF17EC">
        <w:t xml:space="preserve"> Indicators of availability of health care services</w:t>
      </w:r>
    </w:p>
    <w:p w:rsidR="00B70209" w:rsidRPr="00FF17EC" w:rsidRDefault="00B70209" w:rsidP="00B70209">
      <w:r w:rsidRPr="00FF17EC">
        <w:t>An indicator of availability of health care services for the population</w:t>
      </w:r>
      <w:r w:rsidRPr="00FF17EC">
        <w:rPr>
          <w:rStyle w:val="FootnoteReference"/>
        </w:rPr>
        <w:footnoteReference w:id="29"/>
      </w:r>
      <w:r w:rsidRPr="00FF17EC">
        <w:t xml:space="preserve"> older then 65 signals that in the most advanced areas, like Timis county and in South and Centre Banat, the availability is higher for ealders, wile in the remote and rural areas, like in Braniceski and Mehedinty, the availability of health care services is even lower then for the whole population.</w:t>
      </w:r>
    </w:p>
    <w:p w:rsidR="00EF56CA" w:rsidRPr="00FF17EC" w:rsidRDefault="00EF56CA" w:rsidP="00EF56CA">
      <w:r w:rsidRPr="00FF17EC">
        <w:t xml:space="preserve">The same dualism among regions could be identified in the availability of health care services and the level of income, in particular between Urban areas and Northern plains, and the counties and districts in the centre east. </w:t>
      </w:r>
    </w:p>
    <w:p w:rsidR="00EF56CA" w:rsidRPr="00FF17EC" w:rsidRDefault="00EF56CA" w:rsidP="00EF56CA">
      <w:r w:rsidRPr="00FF17EC">
        <w:lastRenderedPageBreak/>
        <w:t>Main challenges for in the eligible area: improving accessibility to health care services for the population in the marginal areas, and for disadvantaged groups, establishment and management of emergency services, preventive health care services and campaigns.</w:t>
      </w:r>
    </w:p>
    <w:p w:rsidR="00EF56CA" w:rsidRPr="00FF17EC" w:rsidRDefault="00EF56CA" w:rsidP="00EF56CA">
      <w:r w:rsidRPr="00FF17EC">
        <w:t xml:space="preserve">In all these areas can be identified a strong potential for cross border cooperation, to exchange good practices, to establish joint networks, to start the joint cross border access to specific health care services. </w:t>
      </w:r>
    </w:p>
    <w:p w:rsidR="00EF56CA" w:rsidRPr="00FF17EC" w:rsidRDefault="00EF56CA" w:rsidP="00EF56CA">
      <w:r w:rsidRPr="00FF17EC">
        <w:t xml:space="preserve">In the current period the sector of health care has been quite active and various projects have been implemented. The experience created can be capitalized in the next period, possibly developing new projects focused on the most important challenges, those of the access to health care in remote areas, in rural communities, </w:t>
      </w:r>
    </w:p>
    <w:p w:rsidR="00EF56CA" w:rsidRPr="00FF17EC" w:rsidRDefault="00EF56CA" w:rsidP="00EF56CA"/>
    <w:p w:rsidR="00EF56CA" w:rsidRPr="00FF17EC" w:rsidRDefault="00EF56CA" w:rsidP="00EF56CA"/>
    <w:p w:rsidR="00EF56CA" w:rsidRPr="00FF17EC" w:rsidRDefault="00EF56CA" w:rsidP="00EF56CA"/>
    <w:p w:rsidR="00EF56CA" w:rsidRPr="00FF17EC" w:rsidRDefault="00EF56CA" w:rsidP="00A62261">
      <w:pPr>
        <w:pStyle w:val="Heading1"/>
      </w:pPr>
      <w:bookmarkStart w:id="72" w:name="_Toc378857145"/>
      <w:bookmarkStart w:id="73" w:name="_Toc383354412"/>
      <w:bookmarkStart w:id="74" w:name="_Toc383415713"/>
      <w:r w:rsidRPr="00FF17EC">
        <w:lastRenderedPageBreak/>
        <w:t>Public Transport and ICT infrastructures</w:t>
      </w:r>
      <w:bookmarkEnd w:id="72"/>
      <w:bookmarkEnd w:id="73"/>
      <w:bookmarkEnd w:id="74"/>
    </w:p>
    <w:tbl>
      <w:tblPr>
        <w:tblStyle w:val="TableGrid"/>
        <w:tblW w:w="0" w:type="auto"/>
        <w:tblLook w:val="04A0" w:firstRow="1" w:lastRow="0" w:firstColumn="1" w:lastColumn="0" w:noHBand="0" w:noVBand="1"/>
      </w:tblPr>
      <w:tblGrid>
        <w:gridCol w:w="9394"/>
      </w:tblGrid>
      <w:tr w:rsidR="00EF56CA" w:rsidRPr="00FF17EC" w:rsidTr="006433A2">
        <w:tc>
          <w:tcPr>
            <w:tcW w:w="9544" w:type="dxa"/>
          </w:tcPr>
          <w:p w:rsidR="00EF56CA" w:rsidRPr="00FF17EC" w:rsidRDefault="00EF56CA" w:rsidP="00013F0C">
            <w:pPr>
              <w:pStyle w:val="ListParagraph"/>
              <w:numPr>
                <w:ilvl w:val="0"/>
                <w:numId w:val="35"/>
              </w:numPr>
              <w:spacing w:before="120"/>
            </w:pPr>
            <w:r w:rsidRPr="00FF17EC">
              <w:t xml:space="preserve">Eligible area well connected to main European Networks, </w:t>
            </w:r>
          </w:p>
          <w:p w:rsidR="00EF56CA" w:rsidRPr="00FF17EC" w:rsidRDefault="00EF56CA" w:rsidP="00013F0C">
            <w:pPr>
              <w:pStyle w:val="ListParagraph"/>
              <w:numPr>
                <w:ilvl w:val="0"/>
                <w:numId w:val="35"/>
              </w:numPr>
              <w:spacing w:before="120"/>
            </w:pPr>
            <w:r w:rsidRPr="00FF17EC">
              <w:t>Central position in the Rine-Danube European core network.</w:t>
            </w:r>
          </w:p>
          <w:p w:rsidR="00EF56CA" w:rsidRPr="00FF17EC" w:rsidRDefault="00EF56CA" w:rsidP="00013F0C">
            <w:pPr>
              <w:pStyle w:val="ListParagraph"/>
              <w:numPr>
                <w:ilvl w:val="0"/>
                <w:numId w:val="35"/>
              </w:numPr>
              <w:spacing w:before="120"/>
            </w:pPr>
            <w:r w:rsidRPr="00FF17EC">
              <w:t>Disparities in the accessibility of international network among the eligible areas.</w:t>
            </w:r>
          </w:p>
          <w:p w:rsidR="00EF56CA" w:rsidRPr="00FF17EC" w:rsidRDefault="00EF56CA" w:rsidP="00013F0C">
            <w:pPr>
              <w:pStyle w:val="ListParagraph"/>
              <w:numPr>
                <w:ilvl w:val="0"/>
                <w:numId w:val="35"/>
              </w:numPr>
              <w:spacing w:before="120"/>
            </w:pPr>
            <w:r w:rsidRPr="00FF17EC">
              <w:t>Areas close to Belgrade and to Timiș much better accessible from international networks than the others.</w:t>
            </w:r>
          </w:p>
          <w:p w:rsidR="00EF56CA" w:rsidRPr="00FF17EC" w:rsidRDefault="00EF56CA" w:rsidP="00013F0C">
            <w:pPr>
              <w:pStyle w:val="ListParagraph"/>
              <w:numPr>
                <w:ilvl w:val="0"/>
                <w:numId w:val="35"/>
              </w:numPr>
              <w:spacing w:before="120"/>
            </w:pPr>
            <w:r w:rsidRPr="00FF17EC">
              <w:t>Areas in the planes are better connected then those peripheral and in the mountain area;</w:t>
            </w:r>
          </w:p>
          <w:p w:rsidR="00EF56CA" w:rsidRPr="00FF17EC" w:rsidRDefault="00EF56CA" w:rsidP="00013F0C">
            <w:pPr>
              <w:pStyle w:val="ListParagraph"/>
              <w:numPr>
                <w:ilvl w:val="0"/>
                <w:numId w:val="35"/>
              </w:numPr>
              <w:spacing w:before="120"/>
            </w:pPr>
            <w:r w:rsidRPr="00FF17EC">
              <w:t>Density and quality of the local transport network lower than the national average;</w:t>
            </w:r>
          </w:p>
          <w:p w:rsidR="00EF56CA" w:rsidRPr="00FF17EC" w:rsidRDefault="00EF56CA" w:rsidP="00013F0C">
            <w:pPr>
              <w:pStyle w:val="ListParagraph"/>
              <w:numPr>
                <w:ilvl w:val="0"/>
                <w:numId w:val="35"/>
              </w:numPr>
              <w:spacing w:before="120"/>
            </w:pPr>
            <w:r w:rsidRPr="00FF17EC">
              <w:t>Low speed of public transport services reduces accessibility of rural and remote areas.</w:t>
            </w:r>
          </w:p>
          <w:p w:rsidR="00013F0C" w:rsidRPr="00FF17EC" w:rsidRDefault="00EF56CA" w:rsidP="00013F0C">
            <w:pPr>
              <w:pStyle w:val="ListParagraph"/>
              <w:numPr>
                <w:ilvl w:val="0"/>
                <w:numId w:val="35"/>
              </w:numPr>
              <w:spacing w:before="120"/>
            </w:pPr>
            <w:r w:rsidRPr="00FF17EC">
              <w:t>Accessibility of border crossings sufficient, but poor quality of infrastructures.</w:t>
            </w:r>
          </w:p>
          <w:p w:rsidR="00EF56CA" w:rsidRPr="00FF17EC" w:rsidRDefault="00EF56CA" w:rsidP="00013F0C">
            <w:pPr>
              <w:pStyle w:val="ListParagraph"/>
              <w:numPr>
                <w:ilvl w:val="0"/>
                <w:numId w:val="35"/>
              </w:numPr>
              <w:spacing w:before="120"/>
            </w:pPr>
            <w:r w:rsidRPr="00FF17EC">
              <w:t>Interconnection of eligible area is limited by infrastructure quality and distances.</w:t>
            </w:r>
          </w:p>
        </w:tc>
      </w:tr>
    </w:tbl>
    <w:p w:rsidR="00EF56CA" w:rsidRPr="00FF17EC" w:rsidRDefault="00EF56CA" w:rsidP="00EF56CA">
      <w:pPr>
        <w:pStyle w:val="CommentText"/>
      </w:pPr>
    </w:p>
    <w:p w:rsidR="00BB1745" w:rsidRPr="00FF17EC" w:rsidRDefault="00BB1745" w:rsidP="00BB1745">
      <w:pPr>
        <w:pStyle w:val="Heading2"/>
      </w:pPr>
      <w:bookmarkStart w:id="75" w:name="_Toc383415714"/>
      <w:r w:rsidRPr="00FF17EC">
        <w:t>The eligible area in the European Networks</w:t>
      </w:r>
      <w:bookmarkEnd w:id="75"/>
    </w:p>
    <w:p w:rsidR="00EF56CA" w:rsidRPr="00FF17EC" w:rsidRDefault="00EF56CA" w:rsidP="00EF56CA">
      <w:r w:rsidRPr="00FF17EC">
        <w:t>The eligible area benefits of the proximity to two of the Core European Networks. Orient/east-Med Corridor</w:t>
      </w:r>
      <w:r w:rsidRPr="00FF17EC">
        <w:rPr>
          <w:rStyle w:val="FootnoteReference"/>
        </w:rPr>
        <w:footnoteReference w:id="30"/>
      </w:r>
      <w:r w:rsidRPr="00FF17EC">
        <w:t xml:space="preserve"> and Rhine Danube (former Corridors IV, X, VII) .</w:t>
      </w:r>
      <w:r w:rsidRPr="00FF17EC">
        <w:rPr>
          <w:rStyle w:val="FootnoteReference"/>
        </w:rPr>
        <w:footnoteReference w:id="31"/>
      </w:r>
      <w:r w:rsidRPr="00FF17EC">
        <w:t xml:space="preserve"> </w:t>
      </w:r>
    </w:p>
    <w:p w:rsidR="00A031AE" w:rsidRPr="00FF17EC" w:rsidRDefault="00EF56CA" w:rsidP="00A031AE">
      <w:r w:rsidRPr="00FF17EC">
        <w:t>Particularly important in the eligible area is the Rhine - Danube River</w:t>
      </w:r>
      <w:r w:rsidR="00B70209" w:rsidRPr="00FF17EC">
        <w:t xml:space="preserve"> core network,</w:t>
      </w:r>
      <w:r w:rsidR="005A52D9" w:rsidRPr="00FF17EC">
        <w:t xml:space="preserve"> </w:t>
      </w:r>
      <w:r w:rsidRPr="00FF17EC">
        <w:t>for its impact on the local system, and for the role that it offers to the region especially in connection to the European Union Strategy for the Danube River</w:t>
      </w:r>
      <w:r w:rsidR="00A031AE" w:rsidRPr="00FF17EC">
        <w:t xml:space="preserve">. The current volume of traffic on the Danube is much smaller than the potential capacity. </w:t>
      </w:r>
    </w:p>
    <w:p w:rsidR="00EF56CA" w:rsidRPr="00FF17EC" w:rsidRDefault="00EF56CA" w:rsidP="00EF56CA"/>
    <w:p w:rsidR="00EF56CA" w:rsidRPr="00FF17EC" w:rsidRDefault="00EF56CA" w:rsidP="00EF56CA"/>
    <w:p w:rsidR="00EF56CA" w:rsidRPr="00FF17EC" w:rsidRDefault="00EF56CA" w:rsidP="00EF56CA">
      <w:pPr>
        <w:keepNext/>
      </w:pPr>
      <w:r w:rsidRPr="00FF17EC">
        <w:rPr>
          <w:noProof/>
          <w:lang w:eastAsia="en-GB"/>
        </w:rPr>
        <w:lastRenderedPageBreak/>
        <w:drawing>
          <wp:inline distT="0" distB="0" distL="0" distR="0">
            <wp:extent cx="4305300" cy="6111426"/>
            <wp:effectExtent l="19050" t="0" r="0" b="0"/>
            <wp:docPr id="2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4305300" cy="6111426"/>
                    </a:xfrm>
                    <a:prstGeom prst="rect">
                      <a:avLst/>
                    </a:prstGeom>
                    <a:noFill/>
                    <a:ln w="9525">
                      <a:noFill/>
                      <a:miter lim="800000"/>
                      <a:headEnd/>
                      <a:tailEnd/>
                    </a:ln>
                  </pic:spPr>
                </pic:pic>
              </a:graphicData>
            </a:graphic>
          </wp:inline>
        </w:drawing>
      </w:r>
    </w:p>
    <w:p w:rsidR="00EF56CA" w:rsidRPr="00FF17EC" w:rsidRDefault="00EF56CA" w:rsidP="00EF56CA">
      <w:pPr>
        <w:pStyle w:val="Caption"/>
        <w:rPr>
          <w:b w:val="0"/>
          <w:sz w:val="22"/>
        </w:rPr>
      </w:pPr>
      <w:r w:rsidRPr="00FF17EC">
        <w:rPr>
          <w:sz w:val="22"/>
        </w:rPr>
        <w:t xml:space="preserve">Map </w:t>
      </w:r>
      <w:r w:rsidR="00393059" w:rsidRPr="00FF17EC">
        <w:rPr>
          <w:sz w:val="22"/>
        </w:rPr>
        <w:t>7</w:t>
      </w:r>
      <w:r w:rsidRPr="00FF17EC">
        <w:rPr>
          <w:sz w:val="22"/>
        </w:rPr>
        <w:noBreakHyphen/>
      </w:r>
      <w:r w:rsidR="00085686" w:rsidRPr="00FF17EC">
        <w:rPr>
          <w:sz w:val="22"/>
        </w:rPr>
        <w:fldChar w:fldCharType="begin"/>
      </w:r>
      <w:r w:rsidR="009B3ED9" w:rsidRPr="00FF17EC">
        <w:rPr>
          <w:sz w:val="22"/>
        </w:rPr>
        <w:instrText xml:space="preserve"> SEQ Map_n.: \* ARABIC \s 1 </w:instrText>
      </w:r>
      <w:r w:rsidR="00085686" w:rsidRPr="00FF17EC">
        <w:rPr>
          <w:sz w:val="22"/>
        </w:rPr>
        <w:fldChar w:fldCharType="separate"/>
      </w:r>
      <w:r w:rsidR="009737E5">
        <w:rPr>
          <w:noProof/>
          <w:sz w:val="22"/>
        </w:rPr>
        <w:t>1</w:t>
      </w:r>
      <w:r w:rsidR="00085686" w:rsidRPr="00FF17EC">
        <w:rPr>
          <w:sz w:val="22"/>
        </w:rPr>
        <w:fldChar w:fldCharType="end"/>
      </w:r>
      <w:r w:rsidRPr="00FF17EC">
        <w:rPr>
          <w:sz w:val="22"/>
        </w:rPr>
        <w:t xml:space="preserve"> Core European Networks in the Mediterranean and Balcan Area.</w:t>
      </w:r>
      <w:r w:rsidR="00B70209" w:rsidRPr="00FF17EC">
        <w:rPr>
          <w:sz w:val="22"/>
        </w:rPr>
        <w:t xml:space="preserve"> </w:t>
      </w:r>
      <w:r w:rsidR="00B70209" w:rsidRPr="00FF17EC">
        <w:rPr>
          <w:b w:val="0"/>
          <w:sz w:val="22"/>
        </w:rPr>
        <w:t>(source EC Transport and mobility, http://ec.europa.eu/transport/index_en.htm)</w:t>
      </w:r>
    </w:p>
    <w:p w:rsidR="00EF56CA" w:rsidRPr="00FF17EC" w:rsidRDefault="00EF56CA" w:rsidP="00EF56CA"/>
    <w:p w:rsidR="00EF56CA" w:rsidRPr="00FF17EC" w:rsidRDefault="00EF56CA" w:rsidP="00EF56CA">
      <w:r w:rsidRPr="00FF17EC">
        <w:rPr>
          <w:noProof/>
          <w:lang w:eastAsia="en-GB"/>
        </w:rPr>
        <w:lastRenderedPageBreak/>
        <w:drawing>
          <wp:inline distT="0" distB="0" distL="0" distR="0">
            <wp:extent cx="4895850" cy="5724525"/>
            <wp:effectExtent l="19050" t="0" r="0" b="0"/>
            <wp:docPr id="4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4897116" cy="5726005"/>
                    </a:xfrm>
                    <a:prstGeom prst="rect">
                      <a:avLst/>
                    </a:prstGeom>
                    <a:noFill/>
                  </pic:spPr>
                </pic:pic>
              </a:graphicData>
            </a:graphic>
          </wp:inline>
        </w:drawing>
      </w:r>
    </w:p>
    <w:p w:rsidR="00EF56CA" w:rsidRPr="00FF17EC" w:rsidRDefault="00EF56CA" w:rsidP="00EF56CA">
      <w:pPr>
        <w:pStyle w:val="Caption"/>
        <w:keepNext w:val="0"/>
        <w:ind w:right="1469"/>
        <w:rPr>
          <w:b w:val="0"/>
          <w:sz w:val="22"/>
        </w:rPr>
      </w:pPr>
      <w:r w:rsidRPr="00FF17EC">
        <w:rPr>
          <w:sz w:val="22"/>
        </w:rPr>
        <w:t xml:space="preserve">Map </w:t>
      </w:r>
      <w:r w:rsidR="00393059" w:rsidRPr="00FF17EC">
        <w:rPr>
          <w:sz w:val="22"/>
        </w:rPr>
        <w:t>7</w:t>
      </w:r>
      <w:r w:rsidRPr="00FF17EC">
        <w:rPr>
          <w:sz w:val="22"/>
        </w:rPr>
        <w:noBreakHyphen/>
      </w:r>
      <w:r w:rsidR="00085686" w:rsidRPr="00FF17EC">
        <w:rPr>
          <w:sz w:val="22"/>
        </w:rPr>
        <w:fldChar w:fldCharType="begin"/>
      </w:r>
      <w:r w:rsidRPr="00FF17EC">
        <w:rPr>
          <w:sz w:val="22"/>
        </w:rPr>
        <w:instrText xml:space="preserve"> SEQ Map_n.: \* ARABIC \s 1 </w:instrText>
      </w:r>
      <w:r w:rsidR="00085686" w:rsidRPr="00FF17EC">
        <w:rPr>
          <w:sz w:val="22"/>
        </w:rPr>
        <w:fldChar w:fldCharType="separate"/>
      </w:r>
      <w:r w:rsidR="009737E5">
        <w:rPr>
          <w:noProof/>
          <w:sz w:val="22"/>
        </w:rPr>
        <w:t>2</w:t>
      </w:r>
      <w:r w:rsidR="00085686" w:rsidRPr="00FF17EC">
        <w:rPr>
          <w:sz w:val="22"/>
        </w:rPr>
        <w:fldChar w:fldCharType="end"/>
      </w:r>
      <w:r w:rsidRPr="00FF17EC">
        <w:rPr>
          <w:sz w:val="22"/>
        </w:rPr>
        <w:t xml:space="preserve"> Annex III regulation 1306/2013 and 1305/2013</w:t>
      </w:r>
      <w:r w:rsidRPr="00FF17EC">
        <w:rPr>
          <w:b w:val="0"/>
          <w:sz w:val="22"/>
        </w:rPr>
        <w:t>: Indicative maps of the trans-European transport network extended to specific third countries. Roads and fluvial</w:t>
      </w:r>
      <w:r w:rsidRPr="00FF17EC">
        <w:rPr>
          <w:rStyle w:val="FootnoteReference"/>
          <w:b w:val="0"/>
          <w:sz w:val="22"/>
        </w:rPr>
        <w:footnoteReference w:id="32"/>
      </w:r>
      <w:r w:rsidRPr="00FF17EC">
        <w:rPr>
          <w:b w:val="0"/>
          <w:sz w:val="22"/>
        </w:rPr>
        <w:t xml:space="preserve"> </w:t>
      </w:r>
    </w:p>
    <w:p w:rsidR="00EF56CA" w:rsidRPr="00FF17EC" w:rsidRDefault="00EF56CA" w:rsidP="00EF56CA">
      <w:pPr>
        <w:pStyle w:val="Caption"/>
      </w:pPr>
    </w:p>
    <w:p w:rsidR="00EF56CA" w:rsidRPr="00FF17EC" w:rsidRDefault="00EF56CA" w:rsidP="00EF56CA">
      <w:pPr>
        <w:keepNext/>
      </w:pPr>
      <w:r w:rsidRPr="00FF17EC">
        <w:rPr>
          <w:noProof/>
          <w:lang w:eastAsia="en-GB"/>
        </w:rPr>
        <w:drawing>
          <wp:inline distT="0" distB="0" distL="0" distR="0">
            <wp:extent cx="5162550" cy="5343525"/>
            <wp:effectExtent l="19050" t="0" r="0" b="0"/>
            <wp:docPr id="4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srcRect/>
                    <a:stretch>
                      <a:fillRect/>
                    </a:stretch>
                  </pic:blipFill>
                  <pic:spPr bwMode="auto">
                    <a:xfrm>
                      <a:off x="0" y="0"/>
                      <a:ext cx="5165845" cy="5346935"/>
                    </a:xfrm>
                    <a:prstGeom prst="rect">
                      <a:avLst/>
                    </a:prstGeom>
                    <a:noFill/>
                  </pic:spPr>
                </pic:pic>
              </a:graphicData>
            </a:graphic>
          </wp:inline>
        </w:drawing>
      </w:r>
    </w:p>
    <w:p w:rsidR="00EF56CA" w:rsidRPr="00FF17EC" w:rsidRDefault="00EF56CA" w:rsidP="00EF56CA">
      <w:pPr>
        <w:pStyle w:val="Caption"/>
        <w:rPr>
          <w:sz w:val="22"/>
        </w:rPr>
      </w:pPr>
      <w:r w:rsidRPr="00FF17EC">
        <w:rPr>
          <w:sz w:val="22"/>
        </w:rPr>
        <w:t xml:space="preserve">Map </w:t>
      </w:r>
      <w:r w:rsidR="00393059" w:rsidRPr="00FF17EC">
        <w:rPr>
          <w:sz w:val="22"/>
        </w:rPr>
        <w:t>7</w:t>
      </w:r>
      <w:r w:rsidRPr="00FF17EC">
        <w:rPr>
          <w:sz w:val="22"/>
        </w:rPr>
        <w:noBreakHyphen/>
      </w:r>
      <w:r w:rsidR="00085686" w:rsidRPr="00FF17EC">
        <w:rPr>
          <w:sz w:val="22"/>
        </w:rPr>
        <w:fldChar w:fldCharType="begin"/>
      </w:r>
      <w:r w:rsidRPr="00FF17EC">
        <w:rPr>
          <w:sz w:val="22"/>
        </w:rPr>
        <w:instrText xml:space="preserve"> SEQ Map_n.: \* ARABIC \s 1 </w:instrText>
      </w:r>
      <w:r w:rsidR="00085686" w:rsidRPr="00FF17EC">
        <w:rPr>
          <w:sz w:val="22"/>
        </w:rPr>
        <w:fldChar w:fldCharType="separate"/>
      </w:r>
      <w:r w:rsidR="009737E5">
        <w:rPr>
          <w:noProof/>
          <w:sz w:val="22"/>
        </w:rPr>
        <w:t>3</w:t>
      </w:r>
      <w:r w:rsidR="00085686" w:rsidRPr="00FF17EC">
        <w:rPr>
          <w:sz w:val="22"/>
        </w:rPr>
        <w:fldChar w:fldCharType="end"/>
      </w:r>
      <w:r w:rsidRPr="00FF17EC">
        <w:rPr>
          <w:sz w:val="22"/>
        </w:rPr>
        <w:t xml:space="preserve"> Annex III regulation 1306/2013 and 1305/2013</w:t>
      </w:r>
      <w:r w:rsidRPr="00FF17EC">
        <w:rPr>
          <w:b w:val="0"/>
          <w:sz w:val="22"/>
        </w:rPr>
        <w:t>: Indicative maps of the trans-European transport network extended to specific third countries Rails.</w:t>
      </w:r>
    </w:p>
    <w:p w:rsidR="00EF56CA" w:rsidRPr="00FF17EC" w:rsidRDefault="00EF56CA" w:rsidP="00EF56CA"/>
    <w:p w:rsidR="00EF56CA" w:rsidRPr="00FF17EC" w:rsidRDefault="00EF56CA" w:rsidP="00EF56CA">
      <w:r w:rsidRPr="00FF17EC">
        <w:t xml:space="preserve">In Timiș, the international airport ensures large availability of connections to international routes. The international airport </w:t>
      </w:r>
      <w:r w:rsidRPr="00FF17EC">
        <w:rPr>
          <w:i/>
          <w:iCs/>
        </w:rPr>
        <w:t>Traian Vuia</w:t>
      </w:r>
      <w:r w:rsidRPr="00FF17EC">
        <w:t xml:space="preserve"> processes around 1 million passengers per year. In the Serbian area, there are no airports located, but the </w:t>
      </w:r>
      <w:r w:rsidRPr="00FF17EC">
        <w:rPr>
          <w:i/>
        </w:rPr>
        <w:t>Nikola Tesla</w:t>
      </w:r>
      <w:r w:rsidRPr="00FF17EC">
        <w:t xml:space="preserve"> International Airport </w:t>
      </w:r>
      <w:r w:rsidRPr="00FF17EC">
        <w:lastRenderedPageBreak/>
        <w:t xml:space="preserve">located in Belgrade is at reasonable distance from all main towns of the eligible area. Three fluvial ports offer access to the Danube (Rhine-Danube corridor). </w:t>
      </w:r>
    </w:p>
    <w:p w:rsidR="00EF56CA" w:rsidRPr="00FF17EC" w:rsidRDefault="00EF56CA" w:rsidP="00EF56CA">
      <w:r w:rsidRPr="00FF17EC">
        <w:t>Good inland waterway infrastructures are present in all districts. The irrigation system Dunav-Tisa-Dunav (DTD) in Vojvodina (Banat and Bačka) has a canal network of 960 km, of which 600 km are navigable.</w:t>
      </w:r>
    </w:p>
    <w:p w:rsidR="00EF56CA" w:rsidRPr="00FF17EC" w:rsidRDefault="00EF56CA" w:rsidP="00EF56CA">
      <w:r w:rsidRPr="00FF17EC">
        <w:t>The Timiș County has one of the few inland waterways which are navigable, the Bega channel, as part of the Rhin - Main – Danube system (linking at European level the Black Sea and the North Sea). The length of the Bega channel is of 44,5 km for the Romanian section and of 74 km of the Serbian section, its meeting point with the Danube is on the Serbian side at Klek.</w:t>
      </w:r>
    </w:p>
    <w:p w:rsidR="00A031AE" w:rsidRPr="00FF17EC" w:rsidRDefault="00A031AE" w:rsidP="00EF56CA"/>
    <w:tbl>
      <w:tblPr>
        <w:tblStyle w:val="TableGrid"/>
        <w:tblW w:w="0" w:type="auto"/>
        <w:tblLook w:val="04A0" w:firstRow="1" w:lastRow="0" w:firstColumn="1" w:lastColumn="0" w:noHBand="0" w:noVBand="1"/>
      </w:tblPr>
      <w:tblGrid>
        <w:gridCol w:w="9394"/>
      </w:tblGrid>
      <w:tr w:rsidR="00EF56CA" w:rsidRPr="00FF17EC" w:rsidTr="006433A2">
        <w:tc>
          <w:tcPr>
            <w:tcW w:w="9544" w:type="dxa"/>
          </w:tcPr>
          <w:p w:rsidR="00EF56CA" w:rsidRPr="00FF17EC" w:rsidRDefault="00EF56CA" w:rsidP="006433A2">
            <w:r w:rsidRPr="00FF17EC">
              <w:t xml:space="preserve">The main transport infrastructures in the area: </w:t>
            </w:r>
          </w:p>
          <w:p w:rsidR="00EF56CA" w:rsidRPr="00FF17EC" w:rsidRDefault="00EF56CA" w:rsidP="006433A2">
            <w:r w:rsidRPr="00FF17EC">
              <w:t>Road transport (AGR):</w:t>
            </w:r>
          </w:p>
          <w:p w:rsidR="00EF56CA" w:rsidRPr="00FF17EC" w:rsidRDefault="00EF56CA" w:rsidP="006433A2">
            <w:r w:rsidRPr="00FF17EC">
              <w:t>E70: (Beograd) – Vrsac – Stamora Moraviţa – Timişoara – Lugoj – Caransebeş – Orşova – Drobeta Turnu Severin – (Craiova)</w:t>
            </w:r>
          </w:p>
          <w:p w:rsidR="00EF56CA" w:rsidRPr="00FF17EC" w:rsidRDefault="00EF56CA" w:rsidP="006433A2">
            <w:pPr>
              <w:rPr>
                <w:lang w:val="it-IT"/>
              </w:rPr>
            </w:pPr>
            <w:r w:rsidRPr="00FF17EC">
              <w:rPr>
                <w:lang w:val="it-IT"/>
              </w:rPr>
              <w:t xml:space="preserve">E 771: Drobeta Turnu Severin – Kladovo – (Nis) </w:t>
            </w:r>
          </w:p>
          <w:p w:rsidR="00EF56CA" w:rsidRPr="00FF17EC" w:rsidRDefault="00EF56CA" w:rsidP="006433A2">
            <w:r w:rsidRPr="00FF17EC">
              <w:t>Railway transport (AGC):</w:t>
            </w:r>
          </w:p>
          <w:p w:rsidR="00EF56CA" w:rsidRPr="00FF17EC" w:rsidRDefault="00EF56CA" w:rsidP="006433A2">
            <w:pPr>
              <w:rPr>
                <w:lang w:val="en-US"/>
              </w:rPr>
            </w:pPr>
            <w:r w:rsidRPr="00FF17EC">
              <w:rPr>
                <w:lang w:val="en-US"/>
              </w:rPr>
              <w:t xml:space="preserve">E66: (Beograd) – Vrsac – Stamora Moraviţa – Timişoara </w:t>
            </w:r>
          </w:p>
          <w:p w:rsidR="00EF56CA" w:rsidRPr="00FF17EC" w:rsidRDefault="00EF56CA" w:rsidP="006433A2">
            <w:pPr>
              <w:rPr>
                <w:lang w:val="it-IT"/>
              </w:rPr>
            </w:pPr>
            <w:r w:rsidRPr="00FF17EC">
              <w:rPr>
                <w:lang w:val="it-IT"/>
              </w:rPr>
              <w:t>E 56: (Arad) – Timişoara – Lugoj – Caransebeş – Orşova – Drobeta Turnu Severin – (Craiova)</w:t>
            </w:r>
          </w:p>
          <w:p w:rsidR="00EF56CA" w:rsidRPr="00FF17EC" w:rsidRDefault="00EF56CA" w:rsidP="006433A2">
            <w:r w:rsidRPr="00FF17EC">
              <w:t>Inland waterway transport (AGN):</w:t>
            </w:r>
          </w:p>
          <w:p w:rsidR="00EF56CA" w:rsidRPr="00FF17EC" w:rsidRDefault="00EF56CA" w:rsidP="006433A2">
            <w:r w:rsidRPr="00FF17EC">
              <w:t>Danube</w:t>
            </w:r>
          </w:p>
          <w:p w:rsidR="00EF56CA" w:rsidRPr="00FF17EC" w:rsidRDefault="00EF56CA" w:rsidP="006433A2">
            <w:r w:rsidRPr="00FF17EC">
              <w:t>Bega (till Timişoara)</w:t>
            </w:r>
          </w:p>
          <w:p w:rsidR="00EF56CA" w:rsidRPr="00FF17EC" w:rsidRDefault="00EF56CA" w:rsidP="006433A2">
            <w:pPr>
              <w:rPr>
                <w:lang w:val="de-AT"/>
              </w:rPr>
            </w:pPr>
            <w:r w:rsidRPr="00FF17EC">
              <w:rPr>
                <w:lang w:val="de-AT"/>
              </w:rPr>
              <w:t>TEN-T network:</w:t>
            </w:r>
          </w:p>
          <w:p w:rsidR="00EF56CA" w:rsidRPr="00FF17EC" w:rsidRDefault="00EF56CA" w:rsidP="006433A2">
            <w:pPr>
              <w:rPr>
                <w:lang w:val="de-AT"/>
              </w:rPr>
            </w:pPr>
            <w:r w:rsidRPr="00FF17EC">
              <w:rPr>
                <w:lang w:val="de-AT"/>
              </w:rPr>
              <w:t xml:space="preserve">(Belgrad) – Vrsac - Stamora Moraviţa – Timişoara </w:t>
            </w:r>
          </w:p>
          <w:p w:rsidR="00EF56CA" w:rsidRPr="00FF17EC" w:rsidRDefault="00EF56CA" w:rsidP="006433A2">
            <w:pPr>
              <w:rPr>
                <w:lang w:val="it-IT"/>
              </w:rPr>
            </w:pPr>
            <w:r w:rsidRPr="00FF17EC">
              <w:rPr>
                <w:lang w:val="it-IT"/>
              </w:rPr>
              <w:t>Timişoara – Lugoj – Caransebeş – Drobeta Turnu Severin – (Calafat)</w:t>
            </w:r>
          </w:p>
          <w:p w:rsidR="00EF56CA" w:rsidRPr="00FF17EC" w:rsidRDefault="00EF56CA" w:rsidP="006433A2">
            <w:r w:rsidRPr="00FF17EC">
              <w:t>Airports Timișoara international Airport</w:t>
            </w:r>
          </w:p>
        </w:tc>
      </w:tr>
    </w:tbl>
    <w:p w:rsidR="00EF56CA" w:rsidRPr="00FF17EC" w:rsidRDefault="00EF56CA" w:rsidP="00EF56CA"/>
    <w:p w:rsidR="00EF56CA" w:rsidRPr="00FF17EC" w:rsidRDefault="00EF56CA" w:rsidP="00EF56CA">
      <w:pPr>
        <w:pStyle w:val="BodyText2"/>
      </w:pPr>
      <w:r w:rsidRPr="00FF17EC">
        <w:lastRenderedPageBreak/>
        <w:t>In recent years few infrastructures were completed.</w:t>
      </w:r>
    </w:p>
    <w:p w:rsidR="00EF56CA" w:rsidRPr="00FF17EC" w:rsidRDefault="00EF56CA" w:rsidP="00EF56CA">
      <w:pPr>
        <w:pStyle w:val="BodyText2"/>
      </w:pPr>
      <w:r w:rsidRPr="00FF17EC">
        <w:t xml:space="preserve">On the corridor IV (according to the former classification), it was completed a 32 Km segment of the highway between Timișoara and Arad, on the North, and the Timișoara’s bypass road. </w:t>
      </w:r>
    </w:p>
    <w:p w:rsidR="00EF56CA" w:rsidRPr="00FF17EC" w:rsidRDefault="00EF56CA" w:rsidP="00EF56CA">
      <w:pPr>
        <w:pStyle w:val="Default"/>
        <w:spacing w:line="360" w:lineRule="auto"/>
        <w:jc w:val="both"/>
        <w:rPr>
          <w:rFonts w:ascii="Trebuchet MS" w:hAnsi="Trebuchet MS" w:cs="Trebuchet MS"/>
          <w:color w:val="auto"/>
          <w:sz w:val="22"/>
          <w:szCs w:val="22"/>
          <w:lang w:val="en-GB"/>
        </w:rPr>
      </w:pPr>
      <w:r w:rsidRPr="00FF17EC">
        <w:rPr>
          <w:rFonts w:ascii="Trebuchet MS" w:hAnsi="Trebuchet MS" w:cs="Trebuchet MS"/>
          <w:color w:val="auto"/>
          <w:sz w:val="22"/>
          <w:szCs w:val="22"/>
          <w:lang w:val="en-GB"/>
        </w:rPr>
        <w:t>On the corridor X (former classification), it was completed a segment of the Horgos – Novi Sad – Beska highway, Horgoš border crossing between Hungary and Republic of Serbia, on the north east of the eligible area)</w:t>
      </w:r>
    </w:p>
    <w:p w:rsidR="00EF56CA" w:rsidRPr="00FF17EC" w:rsidRDefault="00EF56CA" w:rsidP="00EF56CA">
      <w:pPr>
        <w:pStyle w:val="BodyText2"/>
      </w:pPr>
    </w:p>
    <w:p w:rsidR="00EF56CA" w:rsidRPr="00FF17EC" w:rsidRDefault="00EF56CA" w:rsidP="00BB1745">
      <w:pPr>
        <w:pStyle w:val="Heading2"/>
      </w:pPr>
      <w:bookmarkStart w:id="76" w:name="_Toc383415715"/>
      <w:r w:rsidRPr="00FF17EC">
        <w:t>Internal Transport network and accessibility</w:t>
      </w:r>
      <w:bookmarkEnd w:id="76"/>
    </w:p>
    <w:p w:rsidR="00EF56CA" w:rsidRPr="00FF17EC" w:rsidRDefault="00EF56CA" w:rsidP="00EF56CA">
      <w:pPr>
        <w:pStyle w:val="BodyText2"/>
      </w:pPr>
      <w:r w:rsidRPr="00FF17EC">
        <w:t xml:space="preserve">Concerning the local road network, despite recent improvements the proportion of modern roads is still small, and local roads in particular, are obsolete and in poor repair. </w:t>
      </w:r>
    </w:p>
    <w:p w:rsidR="00EF56CA" w:rsidRPr="00FF17EC" w:rsidRDefault="00EF56CA" w:rsidP="00EF56CA">
      <w:r w:rsidRPr="00FF17EC">
        <w:t xml:space="preserve">The length of public roads is 6697 Km in the Romanian counties (of which 1467 km are national roads) and 5256 km on the Serbian side (of which 1142 km major roads and 1423 km of regional ones). </w:t>
      </w:r>
    </w:p>
    <w:p w:rsidR="00EF56CA" w:rsidRPr="00FF17EC" w:rsidRDefault="00EF56CA" w:rsidP="00EF56CA">
      <w:pPr>
        <w:pStyle w:val="BodyText2"/>
      </w:pPr>
      <w:r w:rsidRPr="00FF17EC">
        <w:t>The indicator of road density per unit of surface shows that the availability of road infrastructure is lower than the national average, both in Serbia and in Romania.</w:t>
      </w:r>
    </w:p>
    <w:tbl>
      <w:tblPr>
        <w:tblW w:w="3354" w:type="pct"/>
        <w:jc w:val="center"/>
        <w:tblLook w:val="01E0" w:firstRow="1" w:lastRow="1" w:firstColumn="1" w:lastColumn="1" w:noHBand="0" w:noVBand="0"/>
      </w:tblPr>
      <w:tblGrid>
        <w:gridCol w:w="2300"/>
        <w:gridCol w:w="2220"/>
        <w:gridCol w:w="1788"/>
      </w:tblGrid>
      <w:tr w:rsidR="00EF56CA" w:rsidRPr="00FF17EC" w:rsidTr="0001482D">
        <w:trPr>
          <w:jc w:val="center"/>
        </w:trPr>
        <w:tc>
          <w:tcPr>
            <w:tcW w:w="1823" w:type="pct"/>
            <w:tcBorders>
              <w:top w:val="single" w:sz="4" w:space="0" w:color="auto"/>
              <w:bottom w:val="single" w:sz="4" w:space="0" w:color="auto"/>
            </w:tcBorders>
            <w:vAlign w:val="bottom"/>
          </w:tcPr>
          <w:p w:rsidR="00EF56CA" w:rsidRPr="00FF17EC" w:rsidRDefault="00EF56CA" w:rsidP="006433A2">
            <w:pPr>
              <w:spacing w:after="0" w:line="240" w:lineRule="auto"/>
            </w:pPr>
            <w:r w:rsidRPr="00FF17EC">
              <w:t>Country</w:t>
            </w:r>
          </w:p>
        </w:tc>
        <w:tc>
          <w:tcPr>
            <w:tcW w:w="1759" w:type="pct"/>
            <w:tcBorders>
              <w:top w:val="single" w:sz="4" w:space="0" w:color="auto"/>
              <w:bottom w:val="single" w:sz="4" w:space="0" w:color="auto"/>
            </w:tcBorders>
            <w:vAlign w:val="bottom"/>
          </w:tcPr>
          <w:p w:rsidR="00EF56CA" w:rsidRPr="00FF17EC" w:rsidRDefault="00EF56CA" w:rsidP="006433A2">
            <w:pPr>
              <w:spacing w:after="0" w:line="240" w:lineRule="auto"/>
            </w:pPr>
            <w:r w:rsidRPr="00FF17EC">
              <w:t>NUTS 3 units:</w:t>
            </w:r>
          </w:p>
        </w:tc>
        <w:tc>
          <w:tcPr>
            <w:tcW w:w="1418" w:type="pct"/>
            <w:tcBorders>
              <w:top w:val="single" w:sz="4" w:space="0" w:color="auto"/>
              <w:bottom w:val="single" w:sz="4" w:space="0" w:color="auto"/>
            </w:tcBorders>
            <w:vAlign w:val="bottom"/>
          </w:tcPr>
          <w:p w:rsidR="00EF56CA" w:rsidRPr="00FF17EC" w:rsidRDefault="00EF56CA" w:rsidP="006433A2">
            <w:pPr>
              <w:spacing w:after="0" w:line="240" w:lineRule="auto"/>
            </w:pPr>
            <w:r w:rsidRPr="00FF17EC">
              <w:t>Km roads /1000 sqkm</w:t>
            </w:r>
          </w:p>
        </w:tc>
      </w:tr>
      <w:tr w:rsidR="00EF56CA" w:rsidRPr="00FF17EC" w:rsidTr="0001482D">
        <w:trPr>
          <w:jc w:val="center"/>
        </w:trPr>
        <w:tc>
          <w:tcPr>
            <w:tcW w:w="1823" w:type="pct"/>
            <w:tcBorders>
              <w:bottom w:val="single" w:sz="4" w:space="0" w:color="auto"/>
            </w:tcBorders>
          </w:tcPr>
          <w:p w:rsidR="00EF56CA" w:rsidRPr="00FF17EC" w:rsidRDefault="00EF56CA" w:rsidP="006433A2">
            <w:pPr>
              <w:spacing w:after="0" w:line="240" w:lineRule="auto"/>
            </w:pPr>
            <w:r w:rsidRPr="00FF17EC">
              <w:t>Romania</w:t>
            </w:r>
          </w:p>
        </w:tc>
        <w:tc>
          <w:tcPr>
            <w:tcW w:w="1759" w:type="pct"/>
            <w:tcBorders>
              <w:bottom w:val="single" w:sz="4" w:space="0" w:color="auto"/>
            </w:tcBorders>
          </w:tcPr>
          <w:p w:rsidR="00EF56CA" w:rsidRPr="00FF17EC" w:rsidRDefault="00EF56CA" w:rsidP="006433A2">
            <w:pPr>
              <w:spacing w:after="0" w:line="240" w:lineRule="auto"/>
            </w:pPr>
            <w:r w:rsidRPr="00FF17EC">
              <w:t xml:space="preserve">Total </w:t>
            </w:r>
          </w:p>
        </w:tc>
        <w:tc>
          <w:tcPr>
            <w:tcW w:w="1418" w:type="pct"/>
            <w:tcBorders>
              <w:bottom w:val="single" w:sz="4" w:space="0" w:color="auto"/>
            </w:tcBorders>
          </w:tcPr>
          <w:p w:rsidR="00EF56CA" w:rsidRPr="00FF17EC" w:rsidRDefault="00EF56CA" w:rsidP="006433A2">
            <w:pPr>
              <w:spacing w:after="0" w:line="240" w:lineRule="auto"/>
            </w:pPr>
            <w:r w:rsidRPr="00FF17EC">
              <w:t>343</w:t>
            </w:r>
          </w:p>
        </w:tc>
      </w:tr>
      <w:tr w:rsidR="00EF56CA" w:rsidRPr="00FF17EC" w:rsidTr="0001482D">
        <w:trPr>
          <w:jc w:val="center"/>
        </w:trPr>
        <w:tc>
          <w:tcPr>
            <w:tcW w:w="1823" w:type="pct"/>
            <w:vMerge w:val="restart"/>
            <w:tcBorders>
              <w:top w:val="single" w:sz="4" w:space="0" w:color="auto"/>
            </w:tcBorders>
          </w:tcPr>
          <w:p w:rsidR="00EF56CA" w:rsidRPr="00FF17EC" w:rsidRDefault="00EF56CA" w:rsidP="006433A2">
            <w:pPr>
              <w:spacing w:after="0" w:line="240" w:lineRule="auto"/>
            </w:pPr>
          </w:p>
          <w:p w:rsidR="00EF56CA" w:rsidRPr="00FF17EC" w:rsidRDefault="00EF56CA" w:rsidP="006433A2">
            <w:pPr>
              <w:spacing w:after="0" w:line="240" w:lineRule="auto"/>
            </w:pPr>
          </w:p>
        </w:tc>
        <w:tc>
          <w:tcPr>
            <w:tcW w:w="1759" w:type="pct"/>
            <w:tcBorders>
              <w:top w:val="single" w:sz="4" w:space="0" w:color="auto"/>
            </w:tcBorders>
          </w:tcPr>
          <w:p w:rsidR="00EF56CA" w:rsidRPr="00FF17EC" w:rsidRDefault="00EF56CA" w:rsidP="006433A2">
            <w:pPr>
              <w:spacing w:after="0" w:line="240" w:lineRule="auto"/>
            </w:pPr>
            <w:r w:rsidRPr="00FF17EC">
              <w:t>Timiş</w:t>
            </w:r>
          </w:p>
        </w:tc>
        <w:tc>
          <w:tcPr>
            <w:tcW w:w="1418" w:type="pct"/>
            <w:tcBorders>
              <w:top w:val="single" w:sz="4" w:space="0" w:color="auto"/>
            </w:tcBorders>
          </w:tcPr>
          <w:p w:rsidR="00EF56CA" w:rsidRPr="00FF17EC" w:rsidRDefault="00EF56CA" w:rsidP="006433A2">
            <w:pPr>
              <w:spacing w:after="0" w:line="240" w:lineRule="auto"/>
            </w:pPr>
            <w:r w:rsidRPr="00FF17EC">
              <w:t>335</w:t>
            </w:r>
          </w:p>
        </w:tc>
      </w:tr>
      <w:tr w:rsidR="00EF56CA" w:rsidRPr="00FF17EC" w:rsidTr="0001482D">
        <w:trPr>
          <w:jc w:val="center"/>
        </w:trPr>
        <w:tc>
          <w:tcPr>
            <w:tcW w:w="1823" w:type="pct"/>
            <w:vMerge/>
          </w:tcPr>
          <w:p w:rsidR="00EF56CA" w:rsidRPr="00FF17EC" w:rsidRDefault="00EF56CA" w:rsidP="006433A2">
            <w:pPr>
              <w:spacing w:after="0" w:line="240" w:lineRule="auto"/>
            </w:pPr>
          </w:p>
        </w:tc>
        <w:tc>
          <w:tcPr>
            <w:tcW w:w="1759" w:type="pct"/>
          </w:tcPr>
          <w:p w:rsidR="00EF56CA" w:rsidRPr="00FF17EC" w:rsidRDefault="00EF56CA" w:rsidP="006433A2">
            <w:pPr>
              <w:spacing w:after="0" w:line="240" w:lineRule="auto"/>
            </w:pPr>
            <w:r w:rsidRPr="00FF17EC">
              <w:t>Caraş-Severin</w:t>
            </w:r>
          </w:p>
        </w:tc>
        <w:tc>
          <w:tcPr>
            <w:tcW w:w="1418" w:type="pct"/>
          </w:tcPr>
          <w:p w:rsidR="00EF56CA" w:rsidRPr="00FF17EC" w:rsidRDefault="00EF56CA" w:rsidP="006433A2">
            <w:pPr>
              <w:spacing w:after="0" w:line="240" w:lineRule="auto"/>
            </w:pPr>
            <w:r w:rsidRPr="00FF17EC">
              <w:t>229</w:t>
            </w:r>
          </w:p>
        </w:tc>
      </w:tr>
      <w:tr w:rsidR="00EF56CA" w:rsidRPr="00FF17EC" w:rsidTr="0001482D">
        <w:trPr>
          <w:trHeight w:val="315"/>
          <w:jc w:val="center"/>
        </w:trPr>
        <w:tc>
          <w:tcPr>
            <w:tcW w:w="1823" w:type="pct"/>
            <w:vMerge/>
            <w:tcBorders>
              <w:bottom w:val="single" w:sz="4" w:space="0" w:color="auto"/>
            </w:tcBorders>
          </w:tcPr>
          <w:p w:rsidR="00EF56CA" w:rsidRPr="00FF17EC" w:rsidRDefault="00EF56CA" w:rsidP="006433A2">
            <w:pPr>
              <w:spacing w:after="0" w:line="240" w:lineRule="auto"/>
            </w:pPr>
          </w:p>
        </w:tc>
        <w:tc>
          <w:tcPr>
            <w:tcW w:w="1759" w:type="pct"/>
            <w:tcBorders>
              <w:bottom w:val="single" w:sz="4" w:space="0" w:color="auto"/>
            </w:tcBorders>
          </w:tcPr>
          <w:p w:rsidR="00EF56CA" w:rsidRPr="00FF17EC" w:rsidRDefault="00EF56CA" w:rsidP="006433A2">
            <w:pPr>
              <w:spacing w:after="0" w:line="240" w:lineRule="auto"/>
            </w:pPr>
            <w:r w:rsidRPr="00FF17EC">
              <w:t>Mehedinţi</w:t>
            </w:r>
          </w:p>
        </w:tc>
        <w:tc>
          <w:tcPr>
            <w:tcW w:w="1418" w:type="pct"/>
            <w:tcBorders>
              <w:bottom w:val="single" w:sz="4" w:space="0" w:color="auto"/>
            </w:tcBorders>
          </w:tcPr>
          <w:p w:rsidR="00EF56CA" w:rsidRPr="00FF17EC" w:rsidRDefault="00EF56CA" w:rsidP="006433A2">
            <w:pPr>
              <w:spacing w:after="0" w:line="240" w:lineRule="auto"/>
            </w:pPr>
            <w:r w:rsidRPr="00FF17EC">
              <w:t>376</w:t>
            </w:r>
          </w:p>
        </w:tc>
      </w:tr>
      <w:tr w:rsidR="00EF56CA" w:rsidRPr="00FF17EC" w:rsidTr="0001482D">
        <w:trPr>
          <w:jc w:val="center"/>
        </w:trPr>
        <w:tc>
          <w:tcPr>
            <w:tcW w:w="1822" w:type="pct"/>
            <w:tcBorders>
              <w:top w:val="single" w:sz="4" w:space="0" w:color="auto"/>
              <w:bottom w:val="single" w:sz="4" w:space="0" w:color="auto"/>
            </w:tcBorders>
          </w:tcPr>
          <w:p w:rsidR="00EF56CA" w:rsidRPr="00FF17EC" w:rsidRDefault="00EF56CA" w:rsidP="006433A2">
            <w:pPr>
              <w:spacing w:after="0" w:line="240" w:lineRule="auto"/>
            </w:pPr>
            <w:r w:rsidRPr="00FF17EC">
              <w:t>Republic of Serbia</w:t>
            </w:r>
          </w:p>
        </w:tc>
        <w:tc>
          <w:tcPr>
            <w:tcW w:w="1760" w:type="pct"/>
            <w:tcBorders>
              <w:top w:val="single" w:sz="4" w:space="0" w:color="auto"/>
              <w:bottom w:val="single" w:sz="4" w:space="0" w:color="auto"/>
            </w:tcBorders>
          </w:tcPr>
          <w:p w:rsidR="00EF56CA" w:rsidRPr="00FF17EC" w:rsidRDefault="00EF56CA" w:rsidP="006433A2">
            <w:pPr>
              <w:spacing w:after="0" w:line="240" w:lineRule="auto"/>
            </w:pPr>
            <w:r w:rsidRPr="00FF17EC">
              <w:t>total</w:t>
            </w:r>
          </w:p>
        </w:tc>
        <w:tc>
          <w:tcPr>
            <w:tcW w:w="1418" w:type="pct"/>
            <w:tcBorders>
              <w:top w:val="single" w:sz="4" w:space="0" w:color="auto"/>
              <w:bottom w:val="single" w:sz="4" w:space="0" w:color="auto"/>
            </w:tcBorders>
          </w:tcPr>
          <w:p w:rsidR="00EF56CA" w:rsidRPr="00FF17EC" w:rsidRDefault="00B55E49" w:rsidP="006433A2">
            <w:pPr>
              <w:spacing w:after="0" w:line="240" w:lineRule="auto"/>
            </w:pPr>
            <w:r w:rsidRPr="00FF17EC">
              <w:t>504</w:t>
            </w:r>
          </w:p>
        </w:tc>
      </w:tr>
      <w:tr w:rsidR="00EF56CA" w:rsidRPr="00FF17EC" w:rsidTr="0001482D">
        <w:trPr>
          <w:jc w:val="center"/>
        </w:trPr>
        <w:tc>
          <w:tcPr>
            <w:tcW w:w="1823" w:type="pct"/>
          </w:tcPr>
          <w:p w:rsidR="00EF56CA" w:rsidRPr="00FF17EC" w:rsidRDefault="00EF56CA" w:rsidP="006433A2">
            <w:pPr>
              <w:spacing w:after="0" w:line="240" w:lineRule="auto"/>
            </w:pPr>
          </w:p>
        </w:tc>
        <w:tc>
          <w:tcPr>
            <w:tcW w:w="1759" w:type="pct"/>
          </w:tcPr>
          <w:p w:rsidR="00EF56CA" w:rsidRPr="00FF17EC" w:rsidRDefault="00EF56CA" w:rsidP="006433A2">
            <w:pPr>
              <w:spacing w:after="0" w:line="240" w:lineRule="auto"/>
            </w:pPr>
            <w:r w:rsidRPr="00FF17EC">
              <w:t>North-Banatski</w:t>
            </w:r>
          </w:p>
        </w:tc>
        <w:tc>
          <w:tcPr>
            <w:tcW w:w="1418" w:type="pct"/>
          </w:tcPr>
          <w:p w:rsidR="00EF56CA" w:rsidRPr="00FF17EC" w:rsidRDefault="00EF56CA" w:rsidP="006433A2">
            <w:pPr>
              <w:spacing w:after="0" w:line="240" w:lineRule="auto"/>
            </w:pPr>
            <w:r w:rsidRPr="00FF17EC">
              <w:t>260</w:t>
            </w:r>
          </w:p>
        </w:tc>
      </w:tr>
      <w:tr w:rsidR="00EF56CA" w:rsidRPr="00FF17EC" w:rsidTr="0001482D">
        <w:trPr>
          <w:jc w:val="center"/>
        </w:trPr>
        <w:tc>
          <w:tcPr>
            <w:tcW w:w="1823" w:type="pct"/>
            <w:vMerge w:val="restart"/>
          </w:tcPr>
          <w:p w:rsidR="00EF56CA" w:rsidRPr="00FF17EC" w:rsidRDefault="00EF56CA" w:rsidP="006433A2">
            <w:pPr>
              <w:spacing w:after="0" w:line="240" w:lineRule="auto"/>
            </w:pPr>
          </w:p>
        </w:tc>
        <w:tc>
          <w:tcPr>
            <w:tcW w:w="1759" w:type="pct"/>
          </w:tcPr>
          <w:p w:rsidR="00EF56CA" w:rsidRPr="00FF17EC" w:rsidRDefault="00EF56CA" w:rsidP="006433A2">
            <w:pPr>
              <w:spacing w:after="0" w:line="240" w:lineRule="auto"/>
            </w:pPr>
            <w:r w:rsidRPr="00FF17EC">
              <w:t xml:space="preserve">Centre-Banatski </w:t>
            </w:r>
          </w:p>
        </w:tc>
        <w:tc>
          <w:tcPr>
            <w:tcW w:w="1418" w:type="pct"/>
          </w:tcPr>
          <w:p w:rsidR="00EF56CA" w:rsidRPr="00FF17EC" w:rsidRDefault="00EF56CA" w:rsidP="00B55E49">
            <w:pPr>
              <w:spacing w:after="0" w:line="240" w:lineRule="auto"/>
            </w:pPr>
            <w:r w:rsidRPr="00FF17EC">
              <w:t>2</w:t>
            </w:r>
            <w:r w:rsidR="00B55E49" w:rsidRPr="00FF17EC">
              <w:t>35</w:t>
            </w:r>
          </w:p>
        </w:tc>
      </w:tr>
      <w:tr w:rsidR="00EF56CA" w:rsidRPr="00FF17EC" w:rsidTr="0001482D">
        <w:trPr>
          <w:jc w:val="center"/>
        </w:trPr>
        <w:tc>
          <w:tcPr>
            <w:tcW w:w="1823" w:type="pct"/>
            <w:vMerge/>
          </w:tcPr>
          <w:p w:rsidR="00EF56CA" w:rsidRPr="00FF17EC" w:rsidRDefault="00EF56CA" w:rsidP="006433A2">
            <w:pPr>
              <w:spacing w:after="0" w:line="240" w:lineRule="auto"/>
            </w:pPr>
          </w:p>
        </w:tc>
        <w:tc>
          <w:tcPr>
            <w:tcW w:w="1759" w:type="pct"/>
          </w:tcPr>
          <w:p w:rsidR="00EF56CA" w:rsidRPr="00FF17EC" w:rsidRDefault="00EF56CA" w:rsidP="006433A2">
            <w:pPr>
              <w:spacing w:after="0" w:line="240" w:lineRule="auto"/>
            </w:pPr>
            <w:r w:rsidRPr="00FF17EC">
              <w:t>South -Banatski</w:t>
            </w:r>
          </w:p>
        </w:tc>
        <w:tc>
          <w:tcPr>
            <w:tcW w:w="1418" w:type="pct"/>
          </w:tcPr>
          <w:p w:rsidR="00EF56CA" w:rsidRPr="00FF17EC" w:rsidRDefault="00B55E49" w:rsidP="006433A2">
            <w:pPr>
              <w:spacing w:after="0" w:line="240" w:lineRule="auto"/>
            </w:pPr>
            <w:r w:rsidRPr="00FF17EC">
              <w:t>231</w:t>
            </w:r>
          </w:p>
        </w:tc>
      </w:tr>
      <w:tr w:rsidR="0001482D" w:rsidRPr="00FF17EC" w:rsidTr="0001482D">
        <w:trPr>
          <w:jc w:val="center"/>
        </w:trPr>
        <w:tc>
          <w:tcPr>
            <w:tcW w:w="1823" w:type="pct"/>
            <w:vMerge/>
          </w:tcPr>
          <w:p w:rsidR="0001482D" w:rsidRPr="00FF17EC" w:rsidRDefault="0001482D" w:rsidP="006433A2">
            <w:pPr>
              <w:spacing w:after="0" w:line="240" w:lineRule="auto"/>
            </w:pPr>
          </w:p>
        </w:tc>
        <w:tc>
          <w:tcPr>
            <w:tcW w:w="1759" w:type="pct"/>
          </w:tcPr>
          <w:p w:rsidR="0001482D" w:rsidRPr="00FF17EC" w:rsidRDefault="0001482D" w:rsidP="006433A2">
            <w:pPr>
              <w:spacing w:after="0" w:line="240" w:lineRule="auto"/>
            </w:pPr>
            <w:r w:rsidRPr="00FF17EC">
              <w:t>Podunavski</w:t>
            </w:r>
          </w:p>
        </w:tc>
        <w:tc>
          <w:tcPr>
            <w:tcW w:w="1418" w:type="pct"/>
          </w:tcPr>
          <w:p w:rsidR="0001482D" w:rsidRPr="00FF17EC" w:rsidRDefault="00B55E49" w:rsidP="006433A2">
            <w:pPr>
              <w:spacing w:after="0" w:line="240" w:lineRule="auto"/>
            </w:pPr>
            <w:r w:rsidRPr="00FF17EC">
              <w:t>515</w:t>
            </w:r>
          </w:p>
        </w:tc>
      </w:tr>
      <w:tr w:rsidR="00EF56CA" w:rsidRPr="00FF17EC" w:rsidTr="0001482D">
        <w:trPr>
          <w:jc w:val="center"/>
        </w:trPr>
        <w:tc>
          <w:tcPr>
            <w:tcW w:w="1823" w:type="pct"/>
            <w:vMerge/>
          </w:tcPr>
          <w:p w:rsidR="00EF56CA" w:rsidRPr="00FF17EC" w:rsidRDefault="00EF56CA" w:rsidP="006433A2">
            <w:pPr>
              <w:spacing w:after="0" w:line="240" w:lineRule="auto"/>
            </w:pPr>
          </w:p>
        </w:tc>
        <w:tc>
          <w:tcPr>
            <w:tcW w:w="1759" w:type="pct"/>
          </w:tcPr>
          <w:p w:rsidR="00EF56CA" w:rsidRPr="00FF17EC" w:rsidRDefault="00EF56CA" w:rsidP="006433A2">
            <w:pPr>
              <w:spacing w:after="0" w:line="240" w:lineRule="auto"/>
            </w:pPr>
            <w:r w:rsidRPr="00FF17EC">
              <w:t>Braničevski</w:t>
            </w:r>
          </w:p>
        </w:tc>
        <w:tc>
          <w:tcPr>
            <w:tcW w:w="1418" w:type="pct"/>
          </w:tcPr>
          <w:p w:rsidR="00EF56CA" w:rsidRPr="00FF17EC" w:rsidRDefault="00B55E49" w:rsidP="006433A2">
            <w:pPr>
              <w:spacing w:after="0" w:line="240" w:lineRule="auto"/>
            </w:pPr>
            <w:r w:rsidRPr="00FF17EC">
              <w:t>423</w:t>
            </w:r>
          </w:p>
        </w:tc>
      </w:tr>
      <w:tr w:rsidR="00EF56CA" w:rsidRPr="00FF17EC" w:rsidTr="0001482D">
        <w:trPr>
          <w:jc w:val="center"/>
        </w:trPr>
        <w:tc>
          <w:tcPr>
            <w:tcW w:w="1823" w:type="pct"/>
            <w:vMerge/>
            <w:tcBorders>
              <w:bottom w:val="single" w:sz="4" w:space="0" w:color="auto"/>
            </w:tcBorders>
          </w:tcPr>
          <w:p w:rsidR="00EF56CA" w:rsidRPr="00FF17EC" w:rsidRDefault="00EF56CA" w:rsidP="006433A2">
            <w:pPr>
              <w:spacing w:after="0" w:line="240" w:lineRule="auto"/>
            </w:pPr>
          </w:p>
        </w:tc>
        <w:tc>
          <w:tcPr>
            <w:tcW w:w="1759" w:type="pct"/>
            <w:tcBorders>
              <w:bottom w:val="single" w:sz="4" w:space="0" w:color="auto"/>
            </w:tcBorders>
          </w:tcPr>
          <w:p w:rsidR="00EF56CA" w:rsidRPr="00FF17EC" w:rsidRDefault="00EF56CA" w:rsidP="006433A2">
            <w:pPr>
              <w:spacing w:after="0" w:line="240" w:lineRule="auto"/>
            </w:pPr>
            <w:r w:rsidRPr="00FF17EC">
              <w:t>Borski</w:t>
            </w:r>
          </w:p>
        </w:tc>
        <w:tc>
          <w:tcPr>
            <w:tcW w:w="1418" w:type="pct"/>
            <w:tcBorders>
              <w:bottom w:val="single" w:sz="4" w:space="0" w:color="auto"/>
            </w:tcBorders>
          </w:tcPr>
          <w:p w:rsidR="00EF56CA" w:rsidRPr="00FF17EC" w:rsidRDefault="00B55E49" w:rsidP="006433A2">
            <w:pPr>
              <w:spacing w:after="0" w:line="240" w:lineRule="auto"/>
            </w:pPr>
            <w:r w:rsidRPr="00FF17EC">
              <w:t>431</w:t>
            </w:r>
          </w:p>
        </w:tc>
      </w:tr>
    </w:tbl>
    <w:p w:rsidR="00EF56CA" w:rsidRPr="00FF17EC" w:rsidRDefault="00EF56CA" w:rsidP="00EF56CA">
      <w:pPr>
        <w:pStyle w:val="Caption"/>
        <w:ind w:left="1560"/>
        <w:rPr>
          <w:sz w:val="22"/>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7</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1</w:t>
      </w:r>
      <w:r w:rsidR="00085686" w:rsidRPr="00FF17EC">
        <w:rPr>
          <w:sz w:val="22"/>
        </w:rPr>
        <w:fldChar w:fldCharType="end"/>
      </w:r>
      <w:r w:rsidRPr="00FF17EC">
        <w:rPr>
          <w:sz w:val="22"/>
        </w:rPr>
        <w:t xml:space="preserve"> Road infrastructures in the Area</w:t>
      </w:r>
      <w:r w:rsidR="001C756E" w:rsidRPr="00FF17EC">
        <w:rPr>
          <w:sz w:val="22"/>
        </w:rPr>
        <w:t xml:space="preserve"> (Ministry of infrastructure and transport) . </w:t>
      </w:r>
    </w:p>
    <w:p w:rsidR="00EF56CA" w:rsidRPr="00FF17EC" w:rsidRDefault="00EF56CA" w:rsidP="00EF56CA">
      <w:pPr>
        <w:pStyle w:val="BodyText2"/>
      </w:pPr>
      <w:r w:rsidRPr="00FF17EC">
        <w:t xml:space="preserve">It also describes a strong heterogeneity, with the lowest levels in South Banatski, with </w:t>
      </w:r>
      <w:r w:rsidR="00B55E49" w:rsidRPr="00FF17EC">
        <w:t>231</w:t>
      </w:r>
      <w:r w:rsidRPr="00FF17EC">
        <w:t xml:space="preserve"> Kms of roads per 1000 sqkm, and the highest in </w:t>
      </w:r>
      <w:r w:rsidR="00B55E49" w:rsidRPr="00FF17EC">
        <w:t>Podunavski</w:t>
      </w:r>
      <w:r w:rsidRPr="00FF17EC">
        <w:t xml:space="preserve">, with </w:t>
      </w:r>
      <w:r w:rsidR="00B55E49" w:rsidRPr="00FF17EC">
        <w:t>515</w:t>
      </w:r>
      <w:r w:rsidRPr="00FF17EC">
        <w:t xml:space="preserve">. </w:t>
      </w:r>
    </w:p>
    <w:p w:rsidR="00EF56CA" w:rsidRPr="00FF17EC" w:rsidRDefault="00EF56CA" w:rsidP="00EF56CA">
      <w:pPr>
        <w:pStyle w:val="BodyText2"/>
      </w:pPr>
      <w:r w:rsidRPr="00FF17EC">
        <w:lastRenderedPageBreak/>
        <w:t>However this indicator should be used taking in to account the strong structural heterogeneity of population density, distribution and size of settlements, horograpy topography, quality of maintenance and operation that also depend on the resources of the local administrations. In fact, in the northern plains of both Romania and Serbia, roads, and railroads, ensure a sufficient accessibility to national and international networks. In the southern parts, rail network is less developed, and also because of the mountainous profile and lower density of the population, road network is less efficient, and accessibility is more difficult.</w:t>
      </w:r>
    </w:p>
    <w:p w:rsidR="00EF56CA" w:rsidRPr="00FF17EC" w:rsidRDefault="00EF56CA" w:rsidP="00EF56CA">
      <w:pPr>
        <w:pStyle w:val="BodyText2"/>
      </w:pPr>
      <w:r w:rsidRPr="00FF17EC">
        <w:t xml:space="preserve">Considering these structural specificities, accessibility measured in terms of travelling time declines much faster than that measured in terms of physical distances (table 7.2). </w:t>
      </w:r>
    </w:p>
    <w:p w:rsidR="00EF56CA" w:rsidRPr="00FF17EC" w:rsidRDefault="00EF56CA" w:rsidP="00EF56CA">
      <w:pPr>
        <w:pStyle w:val="BodyText2"/>
      </w:pPr>
      <w:r w:rsidRPr="00FF17EC">
        <w:t xml:space="preserve">In the table below, the travelling times where estimated for public transport services, that in most cases need a combination of trains and buses. Most of the travelling distances between the main towns in the eligible area are higher than 3 hours. </w:t>
      </w:r>
    </w:p>
    <w:p w:rsidR="00EF56CA" w:rsidRPr="00FF17EC" w:rsidRDefault="00EF56CA" w:rsidP="00EF56CA">
      <w:pPr>
        <w:pStyle w:val="BodyText2"/>
      </w:pPr>
      <w:r w:rsidRPr="00FF17EC">
        <w:t>The average travelling distance to the other towns in the area is higher than 4 hours for all towns considered. The average travelling time distance is above 6 hours for the most isolated town, Bor in Borski district.</w:t>
      </w:r>
    </w:p>
    <w:tbl>
      <w:tblPr>
        <w:tblW w:w="9375" w:type="dxa"/>
        <w:tblInd w:w="93" w:type="dxa"/>
        <w:tblLayout w:type="fixed"/>
        <w:tblLook w:val="04A0" w:firstRow="1" w:lastRow="0" w:firstColumn="1" w:lastColumn="0" w:noHBand="0" w:noVBand="1"/>
      </w:tblPr>
      <w:tblGrid>
        <w:gridCol w:w="1365"/>
        <w:gridCol w:w="990"/>
        <w:gridCol w:w="1080"/>
        <w:gridCol w:w="810"/>
        <w:gridCol w:w="900"/>
        <w:gridCol w:w="1080"/>
        <w:gridCol w:w="900"/>
        <w:gridCol w:w="1170"/>
        <w:gridCol w:w="1080"/>
      </w:tblGrid>
      <w:tr w:rsidR="00325505" w:rsidRPr="00FF17EC" w:rsidTr="00767D02">
        <w:trPr>
          <w:trHeight w:val="375"/>
        </w:trPr>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ind w:left="-108" w:right="-89"/>
              <w:jc w:val="left"/>
              <w:rPr>
                <w:rFonts w:cs="Times New Roman"/>
                <w:bCs/>
                <w:color w:val="16365C"/>
                <w:lang w:val="en-US"/>
              </w:rPr>
            </w:pPr>
            <w:r w:rsidRPr="00FF17EC">
              <w:rPr>
                <w:rFonts w:cs="Times New Roman"/>
                <w:bCs/>
                <w:color w:val="16365C"/>
                <w:lang w:val="en-US"/>
              </w:rPr>
              <w:t>Timisoara</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rsidR="00325505" w:rsidRPr="00FF17EC" w:rsidRDefault="00325505" w:rsidP="00325505">
            <w:pPr>
              <w:spacing w:after="0" w:line="240" w:lineRule="auto"/>
              <w:ind w:left="-108" w:right="-89"/>
              <w:jc w:val="left"/>
              <w:rPr>
                <w:rFonts w:cs="Times New Roman"/>
                <w:bCs/>
                <w:color w:val="16365C"/>
                <w:lang w:val="en-US"/>
              </w:rPr>
            </w:pPr>
            <w:r w:rsidRPr="00FF17EC">
              <w:rPr>
                <w:rFonts w:cs="Times New Roman"/>
                <w:bCs/>
                <w:color w:val="16365C"/>
                <w:lang w:val="en-US"/>
              </w:rPr>
              <w:t>Drobeta T. Severin</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ind w:left="-108" w:right="-89"/>
              <w:jc w:val="left"/>
              <w:rPr>
                <w:rFonts w:cs="Times New Roman"/>
                <w:bCs/>
                <w:color w:val="16365C"/>
                <w:lang w:val="en-US"/>
              </w:rPr>
            </w:pPr>
            <w:r w:rsidRPr="00FF17EC">
              <w:rPr>
                <w:rFonts w:cs="Times New Roman"/>
                <w:bCs/>
                <w:color w:val="16365C"/>
                <w:lang w:val="en-US"/>
              </w:rPr>
              <w:t>Resita</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ind w:left="-108" w:right="-89"/>
              <w:jc w:val="left"/>
              <w:rPr>
                <w:rFonts w:cs="Times New Roman"/>
                <w:bCs/>
                <w:color w:val="16365C"/>
                <w:lang w:val="en-US"/>
              </w:rPr>
            </w:pPr>
            <w:r w:rsidRPr="00FF17EC">
              <w:rPr>
                <w:rFonts w:cs="Times New Roman"/>
                <w:bCs/>
                <w:color w:val="16365C"/>
                <w:lang w:val="en-US"/>
              </w:rPr>
              <w:t>Kikinda</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325505" w:rsidRPr="00FF17EC" w:rsidRDefault="00767D02" w:rsidP="00325505">
            <w:pPr>
              <w:spacing w:after="0" w:line="240" w:lineRule="auto"/>
              <w:ind w:left="-108" w:right="-89"/>
              <w:jc w:val="left"/>
              <w:rPr>
                <w:rFonts w:cs="Times New Roman"/>
                <w:bCs/>
                <w:color w:val="16365C"/>
                <w:lang w:val="en-US"/>
              </w:rPr>
            </w:pPr>
            <w:r w:rsidRPr="00FF17EC">
              <w:rPr>
                <w:rFonts w:cs="Times New Roman"/>
                <w:bCs/>
                <w:color w:val="16365C"/>
                <w:lang w:val="en-US"/>
              </w:rPr>
              <w:t>Zren</w:t>
            </w:r>
            <w:r w:rsidR="00325505" w:rsidRPr="00FF17EC">
              <w:rPr>
                <w:rFonts w:cs="Times New Roman"/>
                <w:bCs/>
                <w:color w:val="16365C"/>
                <w:lang w:val="en-US"/>
              </w:rPr>
              <w:t>janin</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ind w:left="-108" w:right="-89"/>
              <w:jc w:val="left"/>
              <w:rPr>
                <w:rFonts w:cs="Times New Roman"/>
                <w:bCs/>
                <w:color w:val="16365C"/>
                <w:lang w:val="en-US"/>
              </w:rPr>
            </w:pPr>
            <w:r w:rsidRPr="00FF17EC">
              <w:rPr>
                <w:rFonts w:cs="Times New Roman"/>
                <w:bCs/>
                <w:color w:val="16365C"/>
                <w:lang w:val="en-US"/>
              </w:rPr>
              <w:t>Pancevo</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ind w:left="-108" w:right="-89"/>
              <w:jc w:val="left"/>
              <w:rPr>
                <w:rFonts w:cs="Times New Roman"/>
                <w:bCs/>
                <w:color w:val="16365C"/>
                <w:lang w:val="en-US"/>
              </w:rPr>
            </w:pPr>
            <w:r w:rsidRPr="00FF17EC">
              <w:rPr>
                <w:rFonts w:cs="Times New Roman"/>
                <w:bCs/>
                <w:color w:val="16365C"/>
                <w:lang w:val="en-US"/>
              </w:rPr>
              <w:t>Smederevo</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ind w:left="-108" w:right="-89"/>
              <w:jc w:val="left"/>
              <w:rPr>
                <w:rFonts w:cs="Times New Roman"/>
                <w:bCs/>
                <w:color w:val="16365C"/>
                <w:lang w:val="en-US"/>
              </w:rPr>
            </w:pPr>
            <w:r w:rsidRPr="00FF17EC">
              <w:rPr>
                <w:rFonts w:cs="Times New Roman"/>
                <w:bCs/>
                <w:color w:val="16365C"/>
                <w:lang w:val="en-US"/>
              </w:rPr>
              <w:t>Pozarevac</w:t>
            </w:r>
          </w:p>
        </w:tc>
      </w:tr>
      <w:tr w:rsidR="00325505" w:rsidRPr="00FF17EC" w:rsidTr="00767D02">
        <w:trPr>
          <w:trHeight w:val="260"/>
        </w:trPr>
        <w:tc>
          <w:tcPr>
            <w:tcW w:w="1365" w:type="dxa"/>
            <w:tcBorders>
              <w:top w:val="nil"/>
              <w:left w:val="single" w:sz="4" w:space="0" w:color="auto"/>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Timisoara</w:t>
            </w:r>
          </w:p>
        </w:tc>
        <w:tc>
          <w:tcPr>
            <w:tcW w:w="990" w:type="dxa"/>
            <w:tcBorders>
              <w:top w:val="nil"/>
              <w:left w:val="nil"/>
              <w:bottom w:val="single" w:sz="4" w:space="0" w:color="auto"/>
              <w:right w:val="single" w:sz="4" w:space="0" w:color="auto"/>
            </w:tcBorders>
            <w:shd w:val="clear" w:color="000000" w:fill="C4BD97"/>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81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90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90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17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r>
      <w:tr w:rsidR="00325505" w:rsidRPr="00FF17EC" w:rsidTr="00767D02">
        <w:trPr>
          <w:trHeight w:val="260"/>
        </w:trPr>
        <w:tc>
          <w:tcPr>
            <w:tcW w:w="1365" w:type="dxa"/>
            <w:tcBorders>
              <w:top w:val="nil"/>
              <w:left w:val="single" w:sz="4" w:space="0" w:color="auto"/>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T. Severin</w:t>
            </w:r>
          </w:p>
        </w:tc>
        <w:tc>
          <w:tcPr>
            <w:tcW w:w="990" w:type="dxa"/>
            <w:tcBorders>
              <w:top w:val="nil"/>
              <w:left w:val="nil"/>
              <w:bottom w:val="single" w:sz="4" w:space="0" w:color="auto"/>
              <w:right w:val="single" w:sz="4" w:space="0" w:color="auto"/>
            </w:tcBorders>
            <w:shd w:val="clear" w:color="000000" w:fill="E6B8B7"/>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5.07</w:t>
            </w:r>
          </w:p>
        </w:tc>
        <w:tc>
          <w:tcPr>
            <w:tcW w:w="1080" w:type="dxa"/>
            <w:tcBorders>
              <w:top w:val="nil"/>
              <w:left w:val="nil"/>
              <w:bottom w:val="single" w:sz="4" w:space="0" w:color="auto"/>
              <w:right w:val="single" w:sz="4" w:space="0" w:color="auto"/>
            </w:tcBorders>
            <w:shd w:val="clear" w:color="000000" w:fill="C4BD97"/>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81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90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90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17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r>
      <w:tr w:rsidR="00325505" w:rsidRPr="00FF17EC" w:rsidTr="00767D02">
        <w:trPr>
          <w:trHeight w:val="260"/>
        </w:trPr>
        <w:tc>
          <w:tcPr>
            <w:tcW w:w="1365" w:type="dxa"/>
            <w:tcBorders>
              <w:top w:val="nil"/>
              <w:left w:val="single" w:sz="4" w:space="0" w:color="auto"/>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Resita</w:t>
            </w:r>
          </w:p>
        </w:tc>
        <w:tc>
          <w:tcPr>
            <w:tcW w:w="990" w:type="dxa"/>
            <w:tcBorders>
              <w:top w:val="nil"/>
              <w:left w:val="nil"/>
              <w:bottom w:val="single" w:sz="4" w:space="0" w:color="auto"/>
              <w:right w:val="single" w:sz="4" w:space="0" w:color="auto"/>
            </w:tcBorders>
            <w:shd w:val="clear" w:color="000000" w:fill="E6B8B7"/>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3.59</w:t>
            </w:r>
          </w:p>
        </w:tc>
        <w:tc>
          <w:tcPr>
            <w:tcW w:w="1080" w:type="dxa"/>
            <w:tcBorders>
              <w:top w:val="nil"/>
              <w:left w:val="nil"/>
              <w:bottom w:val="single" w:sz="4" w:space="0" w:color="auto"/>
              <w:right w:val="single" w:sz="4" w:space="0" w:color="auto"/>
            </w:tcBorders>
            <w:shd w:val="clear" w:color="000000" w:fill="E6B8B7"/>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2.2</w:t>
            </w:r>
          </w:p>
        </w:tc>
        <w:tc>
          <w:tcPr>
            <w:tcW w:w="810" w:type="dxa"/>
            <w:tcBorders>
              <w:top w:val="nil"/>
              <w:left w:val="nil"/>
              <w:bottom w:val="single" w:sz="4" w:space="0" w:color="auto"/>
              <w:right w:val="single" w:sz="4" w:space="0" w:color="auto"/>
            </w:tcBorders>
            <w:shd w:val="clear" w:color="000000" w:fill="C4BD97"/>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90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90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17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r>
      <w:tr w:rsidR="00325505" w:rsidRPr="00FF17EC" w:rsidTr="00767D02">
        <w:trPr>
          <w:trHeight w:val="260"/>
        </w:trPr>
        <w:tc>
          <w:tcPr>
            <w:tcW w:w="1365" w:type="dxa"/>
            <w:tcBorders>
              <w:top w:val="nil"/>
              <w:left w:val="single" w:sz="4" w:space="0" w:color="auto"/>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Kikinda</w:t>
            </w:r>
          </w:p>
        </w:tc>
        <w:tc>
          <w:tcPr>
            <w:tcW w:w="99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2.24</w:t>
            </w:r>
          </w:p>
        </w:tc>
        <w:tc>
          <w:tcPr>
            <w:tcW w:w="108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7.01</w:t>
            </w:r>
          </w:p>
        </w:tc>
        <w:tc>
          <w:tcPr>
            <w:tcW w:w="81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6.37</w:t>
            </w:r>
          </w:p>
        </w:tc>
        <w:tc>
          <w:tcPr>
            <w:tcW w:w="900" w:type="dxa"/>
            <w:tcBorders>
              <w:top w:val="nil"/>
              <w:left w:val="nil"/>
              <w:bottom w:val="single" w:sz="4" w:space="0" w:color="auto"/>
              <w:right w:val="single" w:sz="4" w:space="0" w:color="auto"/>
            </w:tcBorders>
            <w:shd w:val="clear" w:color="000000" w:fill="C4BD97"/>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90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17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r>
      <w:tr w:rsidR="00325505" w:rsidRPr="00FF17EC" w:rsidTr="00767D02">
        <w:trPr>
          <w:trHeight w:val="260"/>
        </w:trPr>
        <w:tc>
          <w:tcPr>
            <w:tcW w:w="1365" w:type="dxa"/>
            <w:tcBorders>
              <w:top w:val="nil"/>
              <w:left w:val="single" w:sz="4" w:space="0" w:color="auto"/>
              <w:bottom w:val="single" w:sz="4" w:space="0" w:color="auto"/>
              <w:right w:val="single" w:sz="4" w:space="0" w:color="auto"/>
            </w:tcBorders>
            <w:shd w:val="clear" w:color="auto" w:fill="auto"/>
            <w:noWrap/>
            <w:vAlign w:val="bottom"/>
            <w:hideMark/>
          </w:tcPr>
          <w:p w:rsidR="00325505" w:rsidRPr="00FF17EC" w:rsidRDefault="00767D02" w:rsidP="00325505">
            <w:pPr>
              <w:spacing w:after="0" w:line="240" w:lineRule="auto"/>
              <w:jc w:val="left"/>
              <w:rPr>
                <w:rFonts w:cs="Times New Roman"/>
                <w:bCs/>
                <w:color w:val="16365C"/>
                <w:lang w:val="en-US"/>
              </w:rPr>
            </w:pPr>
            <w:r w:rsidRPr="00FF17EC">
              <w:rPr>
                <w:rFonts w:cs="Times New Roman"/>
                <w:bCs/>
                <w:color w:val="16365C"/>
                <w:lang w:val="en-US"/>
              </w:rPr>
              <w:t>Zren</w:t>
            </w:r>
            <w:r w:rsidR="00325505" w:rsidRPr="00FF17EC">
              <w:rPr>
                <w:rFonts w:cs="Times New Roman"/>
                <w:bCs/>
                <w:color w:val="16365C"/>
                <w:lang w:val="en-US"/>
              </w:rPr>
              <w:t>janin</w:t>
            </w:r>
          </w:p>
        </w:tc>
        <w:tc>
          <w:tcPr>
            <w:tcW w:w="99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3.5</w:t>
            </w:r>
          </w:p>
        </w:tc>
        <w:tc>
          <w:tcPr>
            <w:tcW w:w="108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10.01</w:t>
            </w:r>
          </w:p>
        </w:tc>
        <w:tc>
          <w:tcPr>
            <w:tcW w:w="81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8.25</w:t>
            </w:r>
          </w:p>
        </w:tc>
        <w:tc>
          <w:tcPr>
            <w:tcW w:w="90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1.07</w:t>
            </w:r>
          </w:p>
        </w:tc>
        <w:tc>
          <w:tcPr>
            <w:tcW w:w="1080" w:type="dxa"/>
            <w:tcBorders>
              <w:top w:val="nil"/>
              <w:left w:val="nil"/>
              <w:bottom w:val="single" w:sz="4" w:space="0" w:color="auto"/>
              <w:right w:val="single" w:sz="4" w:space="0" w:color="auto"/>
            </w:tcBorders>
            <w:shd w:val="clear" w:color="000000" w:fill="C4BD97"/>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90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17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r>
      <w:tr w:rsidR="00325505" w:rsidRPr="00FF17EC" w:rsidTr="00767D02">
        <w:trPr>
          <w:trHeight w:val="260"/>
        </w:trPr>
        <w:tc>
          <w:tcPr>
            <w:tcW w:w="1365" w:type="dxa"/>
            <w:tcBorders>
              <w:top w:val="nil"/>
              <w:left w:val="single" w:sz="4" w:space="0" w:color="auto"/>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Pancevo</w:t>
            </w:r>
          </w:p>
        </w:tc>
        <w:tc>
          <w:tcPr>
            <w:tcW w:w="99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3.4</w:t>
            </w:r>
          </w:p>
        </w:tc>
        <w:tc>
          <w:tcPr>
            <w:tcW w:w="108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8</w:t>
            </w:r>
          </w:p>
        </w:tc>
        <w:tc>
          <w:tcPr>
            <w:tcW w:w="81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7.4</w:t>
            </w:r>
          </w:p>
        </w:tc>
        <w:tc>
          <w:tcPr>
            <w:tcW w:w="90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3.4</w:t>
            </w:r>
          </w:p>
        </w:tc>
        <w:tc>
          <w:tcPr>
            <w:tcW w:w="108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1.2</w:t>
            </w:r>
          </w:p>
        </w:tc>
        <w:tc>
          <w:tcPr>
            <w:tcW w:w="900" w:type="dxa"/>
            <w:tcBorders>
              <w:top w:val="nil"/>
              <w:left w:val="nil"/>
              <w:bottom w:val="single" w:sz="4" w:space="0" w:color="auto"/>
              <w:right w:val="single" w:sz="4" w:space="0" w:color="auto"/>
            </w:tcBorders>
            <w:shd w:val="clear" w:color="000000" w:fill="C4BD97"/>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170" w:type="dxa"/>
            <w:tcBorders>
              <w:top w:val="nil"/>
              <w:left w:val="nil"/>
              <w:bottom w:val="nil"/>
              <w:right w:val="nil"/>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r>
      <w:tr w:rsidR="00325505" w:rsidRPr="00FF17EC" w:rsidTr="00767D02">
        <w:trPr>
          <w:trHeight w:val="260"/>
        </w:trPr>
        <w:tc>
          <w:tcPr>
            <w:tcW w:w="1365" w:type="dxa"/>
            <w:tcBorders>
              <w:top w:val="nil"/>
              <w:left w:val="single" w:sz="4" w:space="0" w:color="auto"/>
              <w:bottom w:val="single" w:sz="4" w:space="0" w:color="auto"/>
              <w:right w:val="single" w:sz="4" w:space="0" w:color="auto"/>
            </w:tcBorders>
            <w:shd w:val="clear" w:color="000000" w:fill="FFFFFF"/>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Smederevo</w:t>
            </w:r>
          </w:p>
        </w:tc>
        <w:tc>
          <w:tcPr>
            <w:tcW w:w="99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5.53</w:t>
            </w:r>
          </w:p>
        </w:tc>
        <w:tc>
          <w:tcPr>
            <w:tcW w:w="108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6.28</w:t>
            </w:r>
          </w:p>
        </w:tc>
        <w:tc>
          <w:tcPr>
            <w:tcW w:w="81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5.53</w:t>
            </w:r>
          </w:p>
        </w:tc>
        <w:tc>
          <w:tcPr>
            <w:tcW w:w="90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4.06</w:t>
            </w:r>
          </w:p>
        </w:tc>
        <w:tc>
          <w:tcPr>
            <w:tcW w:w="108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2.11</w:t>
            </w:r>
          </w:p>
        </w:tc>
        <w:tc>
          <w:tcPr>
            <w:tcW w:w="90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0.52</w:t>
            </w:r>
          </w:p>
        </w:tc>
        <w:tc>
          <w:tcPr>
            <w:tcW w:w="1170" w:type="dxa"/>
            <w:tcBorders>
              <w:top w:val="single" w:sz="4" w:space="0" w:color="auto"/>
              <w:left w:val="nil"/>
              <w:bottom w:val="single" w:sz="4" w:space="0" w:color="auto"/>
              <w:right w:val="single" w:sz="4" w:space="0" w:color="auto"/>
            </w:tcBorders>
            <w:shd w:val="clear" w:color="000000" w:fill="C4BD97"/>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c>
          <w:tcPr>
            <w:tcW w:w="1080" w:type="dxa"/>
            <w:tcBorders>
              <w:top w:val="nil"/>
              <w:left w:val="nil"/>
              <w:bottom w:val="single" w:sz="4" w:space="0" w:color="auto"/>
              <w:right w:val="single" w:sz="4" w:space="0" w:color="auto"/>
            </w:tcBorders>
            <w:shd w:val="clear" w:color="000000" w:fill="FFFFFF"/>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r>
      <w:tr w:rsidR="00325505" w:rsidRPr="00FF17EC" w:rsidTr="00767D02">
        <w:trPr>
          <w:trHeight w:val="260"/>
        </w:trPr>
        <w:tc>
          <w:tcPr>
            <w:tcW w:w="1365" w:type="dxa"/>
            <w:tcBorders>
              <w:top w:val="nil"/>
              <w:left w:val="single" w:sz="4" w:space="0" w:color="auto"/>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Pozarevac</w:t>
            </w:r>
          </w:p>
        </w:tc>
        <w:tc>
          <w:tcPr>
            <w:tcW w:w="99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5.15</w:t>
            </w:r>
          </w:p>
        </w:tc>
        <w:tc>
          <w:tcPr>
            <w:tcW w:w="108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7.31</w:t>
            </w:r>
          </w:p>
        </w:tc>
        <w:tc>
          <w:tcPr>
            <w:tcW w:w="81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8.05</w:t>
            </w:r>
          </w:p>
        </w:tc>
        <w:tc>
          <w:tcPr>
            <w:tcW w:w="90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3.55</w:t>
            </w:r>
          </w:p>
        </w:tc>
        <w:tc>
          <w:tcPr>
            <w:tcW w:w="108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2.34</w:t>
            </w:r>
          </w:p>
        </w:tc>
        <w:tc>
          <w:tcPr>
            <w:tcW w:w="90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1.54</w:t>
            </w:r>
          </w:p>
        </w:tc>
        <w:tc>
          <w:tcPr>
            <w:tcW w:w="117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2.49</w:t>
            </w:r>
          </w:p>
        </w:tc>
        <w:tc>
          <w:tcPr>
            <w:tcW w:w="1080" w:type="dxa"/>
            <w:tcBorders>
              <w:top w:val="nil"/>
              <w:left w:val="nil"/>
              <w:bottom w:val="single" w:sz="4" w:space="0" w:color="auto"/>
              <w:right w:val="single" w:sz="4" w:space="0" w:color="auto"/>
            </w:tcBorders>
            <w:shd w:val="clear" w:color="000000" w:fill="C4BD97"/>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 </w:t>
            </w:r>
          </w:p>
        </w:tc>
      </w:tr>
      <w:tr w:rsidR="00325505" w:rsidRPr="00FF17EC" w:rsidTr="00767D02">
        <w:trPr>
          <w:trHeight w:val="260"/>
        </w:trPr>
        <w:tc>
          <w:tcPr>
            <w:tcW w:w="1365" w:type="dxa"/>
            <w:tcBorders>
              <w:top w:val="nil"/>
              <w:left w:val="single" w:sz="4" w:space="0" w:color="auto"/>
              <w:bottom w:val="single" w:sz="4" w:space="0" w:color="auto"/>
              <w:right w:val="single" w:sz="4" w:space="0" w:color="auto"/>
            </w:tcBorders>
            <w:shd w:val="clear" w:color="auto" w:fill="auto"/>
            <w:noWrap/>
            <w:vAlign w:val="bottom"/>
            <w:hideMark/>
          </w:tcPr>
          <w:p w:rsidR="00325505" w:rsidRPr="00FF17EC" w:rsidRDefault="00325505" w:rsidP="00325505">
            <w:pPr>
              <w:spacing w:after="0" w:line="240" w:lineRule="auto"/>
              <w:jc w:val="left"/>
              <w:rPr>
                <w:rFonts w:cs="Times New Roman"/>
                <w:bCs/>
                <w:color w:val="16365C"/>
                <w:lang w:val="en-US"/>
              </w:rPr>
            </w:pPr>
            <w:r w:rsidRPr="00FF17EC">
              <w:rPr>
                <w:rFonts w:cs="Times New Roman"/>
                <w:bCs/>
                <w:color w:val="16365C"/>
                <w:lang w:val="en-US"/>
              </w:rPr>
              <w:t>Bor</w:t>
            </w:r>
          </w:p>
        </w:tc>
        <w:tc>
          <w:tcPr>
            <w:tcW w:w="99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12.36</w:t>
            </w:r>
          </w:p>
        </w:tc>
        <w:tc>
          <w:tcPr>
            <w:tcW w:w="108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3.02</w:t>
            </w:r>
          </w:p>
        </w:tc>
        <w:tc>
          <w:tcPr>
            <w:tcW w:w="810" w:type="dxa"/>
            <w:tcBorders>
              <w:top w:val="nil"/>
              <w:left w:val="nil"/>
              <w:bottom w:val="single" w:sz="4" w:space="0" w:color="auto"/>
              <w:right w:val="single" w:sz="4" w:space="0" w:color="auto"/>
            </w:tcBorders>
            <w:shd w:val="clear" w:color="000000" w:fill="B7DEE8"/>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6.56</w:t>
            </w:r>
          </w:p>
        </w:tc>
        <w:tc>
          <w:tcPr>
            <w:tcW w:w="90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11.45</w:t>
            </w:r>
          </w:p>
        </w:tc>
        <w:tc>
          <w:tcPr>
            <w:tcW w:w="108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9.48</w:t>
            </w:r>
          </w:p>
        </w:tc>
        <w:tc>
          <w:tcPr>
            <w:tcW w:w="90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6.19</w:t>
            </w:r>
          </w:p>
        </w:tc>
        <w:tc>
          <w:tcPr>
            <w:tcW w:w="117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5.19</w:t>
            </w:r>
          </w:p>
        </w:tc>
        <w:tc>
          <w:tcPr>
            <w:tcW w:w="1080" w:type="dxa"/>
            <w:tcBorders>
              <w:top w:val="nil"/>
              <w:left w:val="nil"/>
              <w:bottom w:val="single" w:sz="4" w:space="0" w:color="auto"/>
              <w:right w:val="single" w:sz="4" w:space="0" w:color="auto"/>
            </w:tcBorders>
            <w:shd w:val="clear" w:color="000000" w:fill="FCD5B4"/>
            <w:noWrap/>
            <w:vAlign w:val="bottom"/>
            <w:hideMark/>
          </w:tcPr>
          <w:p w:rsidR="00325505" w:rsidRPr="00FF17EC" w:rsidRDefault="00325505" w:rsidP="00325505">
            <w:pPr>
              <w:spacing w:after="0" w:line="240" w:lineRule="auto"/>
              <w:jc w:val="right"/>
              <w:rPr>
                <w:rFonts w:cs="Times New Roman"/>
                <w:bCs/>
                <w:color w:val="16365C"/>
                <w:lang w:val="en-US"/>
              </w:rPr>
            </w:pPr>
            <w:r w:rsidRPr="00FF17EC">
              <w:rPr>
                <w:rFonts w:cs="Times New Roman"/>
                <w:bCs/>
                <w:color w:val="16365C"/>
                <w:lang w:val="en-US"/>
              </w:rPr>
              <w:t>9.2</w:t>
            </w:r>
          </w:p>
        </w:tc>
      </w:tr>
    </w:tbl>
    <w:p w:rsidR="00EF56CA" w:rsidRPr="00FF17EC" w:rsidRDefault="00EF56CA" w:rsidP="00EF56CA">
      <w:r w:rsidRPr="00FF17EC">
        <w:t xml:space="preserve">Source: </w:t>
      </w:r>
      <w:hyperlink r:id="rId40" w:history="1">
        <w:r w:rsidRPr="00FF17EC">
          <w:rPr>
            <w:rStyle w:val="Hyperlink"/>
            <w:rFonts w:cs="Trebuchet MS"/>
            <w:sz w:val="20"/>
            <w:szCs w:val="20"/>
          </w:rPr>
          <w:t>http://www.rome2rio.com/</w:t>
        </w:r>
      </w:hyperlink>
      <w:r w:rsidRPr="00FF17EC">
        <w:t xml:space="preserve"> last accessed on 15</w:t>
      </w:r>
      <w:r w:rsidRPr="00FF17EC">
        <w:rPr>
          <w:vertAlign w:val="superscript"/>
        </w:rPr>
        <w:t>th</w:t>
      </w:r>
      <w:r w:rsidRPr="00FF17EC">
        <w:t xml:space="preserve"> December 2013</w:t>
      </w:r>
    </w:p>
    <w:p w:rsidR="00EF56CA" w:rsidRPr="00FF17EC" w:rsidRDefault="00EF56CA" w:rsidP="00EF56CA">
      <w:pPr>
        <w:pStyle w:val="Caption"/>
        <w:rPr>
          <w:sz w:val="18"/>
          <w:szCs w:val="20"/>
          <w:lang w:val="en-US" w:eastAsia="it-IT"/>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7</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2</w:t>
      </w:r>
      <w:r w:rsidR="00085686" w:rsidRPr="00FF17EC">
        <w:rPr>
          <w:sz w:val="22"/>
        </w:rPr>
        <w:fldChar w:fldCharType="end"/>
      </w:r>
      <w:r w:rsidR="00393059" w:rsidRPr="00FF17EC">
        <w:rPr>
          <w:sz w:val="22"/>
        </w:rPr>
        <w:t xml:space="preserve"> </w:t>
      </w:r>
      <w:r w:rsidRPr="00FF17EC">
        <w:rPr>
          <w:sz w:val="22"/>
          <w:lang w:val="en-US" w:eastAsia="it-IT"/>
        </w:rPr>
        <w:t>Public transport traveling time among main towns in the eligible area (hours) (Bus or Train + Bus)</w:t>
      </w:r>
    </w:p>
    <w:p w:rsidR="007D1DDB" w:rsidRPr="00FF17EC" w:rsidRDefault="007D1DDB" w:rsidP="007D1DDB">
      <w:pPr>
        <w:rPr>
          <w:lang w:val="en-US" w:eastAsia="it-IT"/>
        </w:rPr>
      </w:pPr>
    </w:p>
    <w:p w:rsidR="00EF56CA" w:rsidRPr="00FF17EC" w:rsidRDefault="00EF56CA" w:rsidP="00BB1745">
      <w:pPr>
        <w:pStyle w:val="Heading2"/>
      </w:pPr>
      <w:bookmarkStart w:id="77" w:name="_Toc383415716"/>
      <w:r w:rsidRPr="00FF17EC">
        <w:lastRenderedPageBreak/>
        <w:t>Cross border points accessibility and flows</w:t>
      </w:r>
      <w:bookmarkEnd w:id="77"/>
    </w:p>
    <w:p w:rsidR="00EF56CA" w:rsidRPr="00FF17EC" w:rsidRDefault="00EF56CA" w:rsidP="00EF56CA">
      <w:r w:rsidRPr="00FF17EC">
        <w:t>The two sides of the border are connected by 10 border crossing points, two of them on roads and railroads, and three fluvial ports on the Danube. A detailed list of crossing points is provided in the table below, that aosl</w:t>
      </w:r>
    </w:p>
    <w:tbl>
      <w:tblPr>
        <w:tblW w:w="874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83"/>
        <w:gridCol w:w="1152"/>
        <w:gridCol w:w="2430"/>
        <w:gridCol w:w="2880"/>
      </w:tblGrid>
      <w:tr w:rsidR="00EF56CA" w:rsidRPr="00FF17EC" w:rsidTr="009B2366">
        <w:trPr>
          <w:trHeight w:val="401"/>
          <w:tblHeader/>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
                <w:bCs/>
                <w:lang w:val="it-IT" w:eastAsia="it-IT"/>
              </w:rPr>
            </w:pPr>
            <w:r w:rsidRPr="00FF17EC">
              <w:rPr>
                <w:rFonts w:cs="Times New Roman"/>
                <w:b/>
                <w:bCs/>
                <w:lang w:val="it-IT" w:eastAsia="it-IT"/>
              </w:rPr>
              <w:t xml:space="preserve">Serbian point </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
                <w:bCs/>
                <w:lang w:val="it-IT" w:eastAsia="it-IT"/>
              </w:rPr>
            </w:pPr>
            <w:r w:rsidRPr="00FF17EC">
              <w:rPr>
                <w:rFonts w:cs="Times New Roman"/>
                <w:b/>
                <w:bCs/>
                <w:lang w:val="it-IT" w:eastAsia="it-IT"/>
              </w:rPr>
              <w:t>Modality</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
                <w:bCs/>
                <w:lang w:val="en-US" w:eastAsia="it-IT"/>
              </w:rPr>
            </w:pPr>
            <w:r w:rsidRPr="00FF17EC">
              <w:rPr>
                <w:rFonts w:cs="Times New Roman"/>
                <w:b/>
                <w:bCs/>
                <w:lang w:val="en-US" w:eastAsia="it-IT"/>
              </w:rPr>
              <w:t>Operativity</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
                <w:bCs/>
                <w:lang w:val="it-IT" w:eastAsia="it-IT"/>
              </w:rPr>
            </w:pPr>
            <w:r w:rsidRPr="00FF17EC">
              <w:rPr>
                <w:rFonts w:cs="Times New Roman"/>
                <w:b/>
                <w:bCs/>
                <w:lang w:val="it-IT" w:eastAsia="it-IT"/>
              </w:rPr>
              <w:t>Romanian Point</w:t>
            </w:r>
          </w:p>
        </w:tc>
      </w:tr>
      <w:tr w:rsidR="00EF56CA" w:rsidRPr="00FF17EC" w:rsidTr="009B2366">
        <w:trPr>
          <w:trHeight w:val="30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Veliko Gradište</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Port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 </w:t>
            </w:r>
          </w:p>
        </w:tc>
      </w:tr>
      <w:tr w:rsidR="00EF56CA" w:rsidRPr="00FF17EC" w:rsidTr="009B2366">
        <w:trPr>
          <w:trHeight w:val="30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Donji Milanovac</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Port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 </w:t>
            </w:r>
          </w:p>
        </w:tc>
      </w:tr>
      <w:tr w:rsidR="00EF56CA" w:rsidRPr="00FF17EC" w:rsidTr="009B2366">
        <w:trPr>
          <w:trHeight w:val="30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Tekija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Port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 </w:t>
            </w:r>
          </w:p>
        </w:tc>
      </w:tr>
      <w:tr w:rsidR="00EF56CA" w:rsidRPr="00FF17EC" w:rsidTr="009B2366">
        <w:trPr>
          <w:trHeight w:val="30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Kladovo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it-IT" w:eastAsia="it-IT"/>
              </w:rPr>
            </w:pPr>
            <w:r w:rsidRPr="00FF17EC">
              <w:rPr>
                <w:rFonts w:cs="Times New Roman"/>
                <w:bCs/>
                <w:lang w:val="it-IT" w:eastAsia="it-IT"/>
              </w:rPr>
              <w:t>Port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F56CA" w:rsidRPr="00FF17EC" w:rsidRDefault="00EF56CA" w:rsidP="00E0702E">
            <w:pPr>
              <w:spacing w:after="0" w:line="240" w:lineRule="auto"/>
              <w:jc w:val="left"/>
              <w:rPr>
                <w:rFonts w:cs="Times New Roman"/>
                <w:bCs/>
                <w:lang w:val="it-IT" w:eastAsia="it-IT"/>
              </w:rPr>
            </w:pPr>
            <w:r w:rsidRPr="00FF17EC">
              <w:rPr>
                <w:rFonts w:cs="Times New Roman"/>
                <w:bCs/>
                <w:lang w:val="it-IT" w:eastAsia="it-IT"/>
              </w:rPr>
              <w:t> </w:t>
            </w:r>
          </w:p>
        </w:tc>
      </w:tr>
      <w:tr w:rsidR="00E0702E" w:rsidRPr="00FF17EC" w:rsidTr="009B2366">
        <w:trPr>
          <w:trHeight w:val="30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6054F">
            <w:pPr>
              <w:spacing w:after="0" w:line="240" w:lineRule="auto"/>
              <w:jc w:val="left"/>
              <w:rPr>
                <w:rFonts w:cs="Times New Roman"/>
                <w:bCs/>
                <w:lang w:val="it-IT" w:eastAsia="it-IT"/>
              </w:rPr>
            </w:pPr>
            <w:r w:rsidRPr="00FF17EC">
              <w:rPr>
                <w:rFonts w:cs="Times New Roman"/>
                <w:bCs/>
                <w:lang w:val="it-IT" w:eastAsia="it-IT"/>
              </w:rPr>
              <w:t>Đerdap</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6054F">
            <w:pPr>
              <w:spacing w:after="0" w:line="240" w:lineRule="auto"/>
              <w:jc w:val="left"/>
              <w:rPr>
                <w:rFonts w:cs="Times New Roman"/>
                <w:bCs/>
                <w:lang w:val="it-IT" w:eastAsia="it-IT"/>
              </w:rPr>
            </w:pPr>
            <w:r w:rsidRPr="00FF17EC">
              <w:rPr>
                <w:rFonts w:cs="Times New Roman"/>
                <w:bCs/>
                <w:lang w:val="it-IT" w:eastAsia="it-IT"/>
              </w:rPr>
              <w:t>Port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6054F">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6054F">
            <w:pPr>
              <w:spacing w:after="0" w:line="240" w:lineRule="auto"/>
              <w:jc w:val="left"/>
              <w:rPr>
                <w:rFonts w:cs="Times New Roman"/>
                <w:bCs/>
                <w:lang w:val="it-IT" w:eastAsia="it-IT"/>
              </w:rPr>
            </w:pPr>
            <w:r w:rsidRPr="00FF17EC">
              <w:rPr>
                <w:rFonts w:cs="Times New Roman"/>
                <w:bCs/>
                <w:lang w:val="it-IT" w:eastAsia="it-IT"/>
              </w:rPr>
              <w:t>Moldova Veche</w:t>
            </w:r>
          </w:p>
        </w:tc>
      </w:tr>
      <w:tr w:rsidR="00E0702E" w:rsidRPr="00FF17EC" w:rsidTr="009B2366">
        <w:trPr>
          <w:trHeight w:val="30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 </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Port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Orșova</w:t>
            </w:r>
          </w:p>
        </w:tc>
      </w:tr>
      <w:tr w:rsidR="00E0702E" w:rsidRPr="00FF17EC" w:rsidTr="009B2366">
        <w:trPr>
          <w:trHeight w:val="30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Port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Drobeta Turnu Severin</w:t>
            </w:r>
          </w:p>
        </w:tc>
      </w:tr>
      <w:tr w:rsidR="00E0702E" w:rsidRPr="00FF17EC" w:rsidTr="009B2366">
        <w:trPr>
          <w:trHeight w:val="30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Prahovo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Port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 </w:t>
            </w:r>
          </w:p>
        </w:tc>
      </w:tr>
      <w:tr w:rsidR="00E0702E" w:rsidRPr="00FF17EC" w:rsidTr="009B2366">
        <w:trPr>
          <w:trHeight w:val="44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Kikinda Crinja (Srpska Crnja)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Road</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 xml:space="preserve">Functional permanent </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Jimbolia</w:t>
            </w:r>
          </w:p>
        </w:tc>
      </w:tr>
      <w:tr w:rsidR="00E0702E" w:rsidRPr="00FF17EC" w:rsidTr="009B2366">
        <w:trPr>
          <w:trHeight w:val="298"/>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Vrbica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Road</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temporarily</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BE1952" w:rsidP="006433A2">
            <w:pPr>
              <w:spacing w:after="0" w:line="240" w:lineRule="auto"/>
              <w:jc w:val="left"/>
              <w:rPr>
                <w:rFonts w:cs="Times New Roman"/>
                <w:bCs/>
                <w:lang w:val="en-US" w:eastAsia="it-IT"/>
              </w:rPr>
            </w:pPr>
            <w:r w:rsidRPr="00FF17EC">
              <w:rPr>
                <w:rFonts w:cs="Times New Roman"/>
                <w:bCs/>
                <w:lang w:val="en-US" w:eastAsia="it-IT"/>
              </w:rPr>
              <w:t>Valcani</w:t>
            </w:r>
          </w:p>
        </w:tc>
      </w:tr>
      <w:tr w:rsidR="00E0702E" w:rsidRPr="00FF17EC" w:rsidTr="009B2366">
        <w:trPr>
          <w:trHeight w:val="401"/>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Nakovo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Road</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temporarily</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Comloșu mare</w:t>
            </w:r>
          </w:p>
        </w:tc>
      </w:tr>
      <w:tr w:rsidR="00E0702E" w:rsidRPr="00FF17EC" w:rsidTr="009B2366">
        <w:trPr>
          <w:trHeight w:val="401"/>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Kikinda Crinja (Srpska Crnja)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Train</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Jimbolia</w:t>
            </w:r>
          </w:p>
        </w:tc>
      </w:tr>
      <w:tr w:rsidR="00E0702E" w:rsidRPr="00FF17EC" w:rsidTr="009B2366">
        <w:trPr>
          <w:trHeight w:val="307"/>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Međa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Train</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temporarily</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2C0AC3" w:rsidP="006433A2">
            <w:pPr>
              <w:spacing w:after="0" w:line="240" w:lineRule="auto"/>
              <w:jc w:val="left"/>
              <w:rPr>
                <w:rFonts w:cs="Times New Roman"/>
                <w:bCs/>
                <w:lang w:val="it-IT" w:eastAsia="it-IT"/>
              </w:rPr>
            </w:pPr>
            <w:r w:rsidRPr="00FF17EC">
              <w:rPr>
                <w:rFonts w:cs="Times New Roman"/>
                <w:bCs/>
                <w:lang w:val="it-IT" w:eastAsia="it-IT"/>
              </w:rPr>
              <w:t>Ionel</w:t>
            </w:r>
            <w:r w:rsidR="00E0702E" w:rsidRPr="00FF17EC">
              <w:rPr>
                <w:rFonts w:cs="Times New Roman"/>
                <w:bCs/>
                <w:lang w:val="it-IT" w:eastAsia="it-IT"/>
              </w:rPr>
              <w:t> </w:t>
            </w:r>
          </w:p>
        </w:tc>
      </w:tr>
      <w:tr w:rsidR="00E0702E" w:rsidRPr="00FF17EC" w:rsidTr="009B2366">
        <w:trPr>
          <w:trHeight w:val="26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Jaša Tomić</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Road</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temporarily</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Foeni</w:t>
            </w:r>
          </w:p>
        </w:tc>
      </w:tr>
      <w:tr w:rsidR="00E0702E" w:rsidRPr="00FF17EC" w:rsidTr="009B2366">
        <w:trPr>
          <w:trHeight w:val="35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Vrsac Vatin</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Rail/ train</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Stamora Moravița (Moravița)</w:t>
            </w:r>
          </w:p>
        </w:tc>
      </w:tr>
      <w:tr w:rsidR="00E0702E" w:rsidRPr="00FF17EC" w:rsidTr="009B2366">
        <w:trPr>
          <w:trHeight w:val="280"/>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Kaluđerovo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Road</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Naidăș</w:t>
            </w:r>
          </w:p>
        </w:tc>
      </w:tr>
      <w:tr w:rsidR="00E0702E" w:rsidRPr="008E5699" w:rsidTr="009B2366">
        <w:trPr>
          <w:trHeight w:val="244"/>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Đerdap 1</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Road</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fr-FR" w:eastAsia="it-IT"/>
              </w:rPr>
            </w:pPr>
            <w:r w:rsidRPr="00FF17EC">
              <w:rPr>
                <w:rFonts w:cs="Times New Roman"/>
                <w:bCs/>
                <w:lang w:val="fr-FR" w:eastAsia="it-IT"/>
              </w:rPr>
              <w:t>Porțile de Fier 1 (Gura Văii)</w:t>
            </w:r>
          </w:p>
        </w:tc>
      </w:tr>
      <w:tr w:rsidR="00E0702E" w:rsidRPr="008E5699" w:rsidTr="009B2366">
        <w:trPr>
          <w:trHeight w:val="352"/>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085E59" w:rsidP="00085E59">
            <w:pPr>
              <w:spacing w:after="0" w:line="240" w:lineRule="auto"/>
              <w:jc w:val="left"/>
              <w:rPr>
                <w:rFonts w:cs="Times New Roman"/>
                <w:bCs/>
                <w:lang w:val="it-IT" w:eastAsia="it-IT"/>
              </w:rPr>
            </w:pPr>
            <w:r w:rsidRPr="00FF17EC">
              <w:rPr>
                <w:rFonts w:cs="Times New Roman"/>
                <w:bCs/>
                <w:lang w:val="it-IT" w:eastAsia="it-IT"/>
              </w:rPr>
              <w:t>Kusjak (</w:t>
            </w:r>
            <w:r w:rsidR="00E0702E" w:rsidRPr="00FF17EC">
              <w:rPr>
                <w:rFonts w:cs="Times New Roman"/>
                <w:bCs/>
                <w:lang w:val="it-IT" w:eastAsia="it-IT"/>
              </w:rPr>
              <w:t>Đerdap 2</w:t>
            </w:r>
            <w:r w:rsidRPr="00FF17EC">
              <w:rPr>
                <w:rFonts w:cs="Times New Roman"/>
                <w:bCs/>
                <w:lang w:val="it-IT" w:eastAsia="it-IT"/>
              </w:rPr>
              <w:t xml:space="preserve">) </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it-IT" w:eastAsia="it-IT"/>
              </w:rPr>
            </w:pPr>
            <w:r w:rsidRPr="00FF17EC">
              <w:rPr>
                <w:rFonts w:cs="Times New Roman"/>
                <w:bCs/>
                <w:lang w:val="it-IT" w:eastAsia="it-IT"/>
              </w:rPr>
              <w:t>Road</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en-US" w:eastAsia="it-IT"/>
              </w:rPr>
            </w:pPr>
            <w:r w:rsidRPr="00FF17EC">
              <w:rPr>
                <w:rFonts w:cs="Times New Roman"/>
                <w:bCs/>
                <w:lang w:val="en-US" w:eastAsia="it-IT"/>
              </w:rPr>
              <w:t>Functional permanent</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02E" w:rsidRPr="00FF17EC" w:rsidRDefault="00E0702E" w:rsidP="006433A2">
            <w:pPr>
              <w:spacing w:after="0" w:line="240" w:lineRule="auto"/>
              <w:jc w:val="left"/>
              <w:rPr>
                <w:rFonts w:cs="Times New Roman"/>
                <w:bCs/>
                <w:lang w:val="fr-FR" w:eastAsia="it-IT"/>
              </w:rPr>
            </w:pPr>
            <w:r w:rsidRPr="00FF17EC">
              <w:rPr>
                <w:rFonts w:cs="Times New Roman"/>
                <w:bCs/>
                <w:lang w:val="fr-FR" w:eastAsia="it-IT"/>
              </w:rPr>
              <w:t>Porțile de fier 2 (Izvoru Frumos)</w:t>
            </w:r>
          </w:p>
        </w:tc>
      </w:tr>
    </w:tbl>
    <w:p w:rsidR="0049076F" w:rsidRPr="00FF17EC" w:rsidRDefault="0049076F" w:rsidP="00EF56CA">
      <w:pPr>
        <w:pStyle w:val="Caption"/>
        <w:keepNext w:val="0"/>
        <w:rPr>
          <w:lang w:val="fr-FR"/>
        </w:rPr>
      </w:pPr>
    </w:p>
    <w:p w:rsidR="00EF56CA" w:rsidRPr="00FF17EC" w:rsidRDefault="00EF56CA" w:rsidP="00EF56CA">
      <w:pPr>
        <w:pStyle w:val="Caption"/>
        <w:keepNext w:val="0"/>
        <w:rPr>
          <w:lang w:eastAsia="it-IT"/>
        </w:rPr>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7</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3</w:t>
      </w:r>
      <w:r w:rsidR="00085686" w:rsidRPr="00FF17EC">
        <w:rPr>
          <w:noProof/>
        </w:rPr>
        <w:fldChar w:fldCharType="end"/>
      </w:r>
      <w:r w:rsidR="00393059" w:rsidRPr="00FF17EC">
        <w:t xml:space="preserve"> </w:t>
      </w:r>
      <w:r w:rsidRPr="00FF17EC">
        <w:rPr>
          <w:rFonts w:cs="Times New Roman"/>
          <w:iCs/>
          <w:color w:val="000000"/>
          <w:lang w:eastAsia="it-IT"/>
        </w:rPr>
        <w:t>Border crossings in the PA</w:t>
      </w:r>
      <w:r w:rsidR="00A031AE" w:rsidRPr="00FF17EC">
        <w:rPr>
          <w:rFonts w:cs="Times New Roman"/>
          <w:iCs/>
          <w:color w:val="000000"/>
          <w:lang w:eastAsia="it-IT"/>
        </w:rPr>
        <w:t xml:space="preserve"> (source: Border police Serbia and Romania)</w:t>
      </w:r>
    </w:p>
    <w:p w:rsidR="00EF56CA" w:rsidRPr="00FF17EC" w:rsidRDefault="00EF56CA" w:rsidP="00EF56CA">
      <w:r w:rsidRPr="00FF17EC">
        <w:t xml:space="preserve">The flow of passengers and vehicles is available only for some specific crossing points, and no records about the local cross border traffic are available. </w:t>
      </w:r>
    </w:p>
    <w:p w:rsidR="00EF56CA" w:rsidRPr="00FF17EC" w:rsidRDefault="00EF56CA" w:rsidP="00EF56CA">
      <w:r w:rsidRPr="00FF17EC">
        <w:t>However, according to the qualitative information collected among stakeholders the number of crossing points is adequate for the intensity and direction of cross border flows, that include a large share of travellers to the long distance international destinations, and a minor share of commuters in the border area.</w:t>
      </w:r>
    </w:p>
    <w:p w:rsidR="00EF56CA" w:rsidRPr="00FF17EC" w:rsidRDefault="00EF56CA" w:rsidP="00EF56CA">
      <w:pPr>
        <w:pStyle w:val="CommentText"/>
      </w:pPr>
      <w:r w:rsidRPr="00FF17EC">
        <w:lastRenderedPageBreak/>
        <w:t>However, there is only few fully operated cross-border (near the Vršac),</w:t>
      </w:r>
      <w:r w:rsidR="002C0AC3" w:rsidRPr="00FF17EC">
        <w:t xml:space="preserve"> </w:t>
      </w:r>
      <w:r w:rsidRPr="00FF17EC">
        <w:t xml:space="preserve">the others are not permanently functional cross-borders, some of them are just seasonal and limited. </w:t>
      </w:r>
    </w:p>
    <w:p w:rsidR="00EF56CA" w:rsidRPr="00FF17EC" w:rsidRDefault="00EF56CA" w:rsidP="00EF56CA">
      <w:r w:rsidRPr="00FF17EC">
        <w:t>The traffic of vehicles across the border crossings has been growing at a fast pace, in both directions, growing from roughly 200 thousands in 2009 to up to more than 300 thousands in 2013.</w:t>
      </w:r>
    </w:p>
    <w:p w:rsidR="00EF56CA" w:rsidRPr="00FF17EC" w:rsidRDefault="00EF56CA" w:rsidP="00EF56CA">
      <w:r w:rsidRPr="00FF17EC">
        <w:t>The annual flows of vehicles to long distance destinations correspond to an average of less than 1 thousands vehicles per day, almost the totality represented by cars (table 7.4).</w:t>
      </w:r>
    </w:p>
    <w:p w:rsidR="00EF56CA" w:rsidRPr="00FF17EC" w:rsidRDefault="00EF56CA" w:rsidP="00EF56CA">
      <w:r w:rsidRPr="00FF17EC">
        <w:t xml:space="preserve">Half of the traffic is concentrated at the Đerdap crossing points. </w:t>
      </w:r>
    </w:p>
    <w:tbl>
      <w:tblPr>
        <w:tblW w:w="9263" w:type="dxa"/>
        <w:tblInd w:w="53" w:type="dxa"/>
        <w:tblLayout w:type="fixed"/>
        <w:tblCellMar>
          <w:left w:w="70" w:type="dxa"/>
          <w:right w:w="70" w:type="dxa"/>
        </w:tblCellMar>
        <w:tblLook w:val="04A0" w:firstRow="1" w:lastRow="0" w:firstColumn="1" w:lastColumn="0" w:noHBand="0" w:noVBand="1"/>
      </w:tblPr>
      <w:tblGrid>
        <w:gridCol w:w="1165"/>
        <w:gridCol w:w="880"/>
        <w:gridCol w:w="1046"/>
        <w:gridCol w:w="880"/>
        <w:gridCol w:w="1356"/>
        <w:gridCol w:w="767"/>
        <w:gridCol w:w="1046"/>
        <w:gridCol w:w="815"/>
        <w:gridCol w:w="65"/>
        <w:gridCol w:w="1243"/>
      </w:tblGrid>
      <w:tr w:rsidR="00EF56CA" w:rsidRPr="00FF17EC" w:rsidTr="006433A2">
        <w:trPr>
          <w:trHeight w:val="315"/>
        </w:trPr>
        <w:tc>
          <w:tcPr>
            <w:tcW w:w="9263" w:type="dxa"/>
            <w:gridSpan w:val="10"/>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b/>
                <w:lang w:eastAsia="it-IT"/>
              </w:rPr>
            </w:pPr>
            <w:r w:rsidRPr="00FF17EC">
              <w:t xml:space="preserve"> </w:t>
            </w:r>
            <w:r w:rsidRPr="00FF17EC">
              <w:rPr>
                <w:b/>
                <w:lang w:eastAsia="it-IT"/>
              </w:rPr>
              <w:t>Vehicles crossing the border between Serbia and Romania in 2009(vehicles per day)</w:t>
            </w:r>
          </w:p>
        </w:tc>
      </w:tr>
      <w:tr w:rsidR="00EF56CA" w:rsidRPr="00FF17EC" w:rsidTr="00EF40E0">
        <w:trPr>
          <w:trHeight w:val="315"/>
        </w:trPr>
        <w:tc>
          <w:tcPr>
            <w:tcW w:w="1165" w:type="dxa"/>
            <w:vMerge w:val="restart"/>
            <w:tcBorders>
              <w:top w:val="single" w:sz="8" w:space="0" w:color="auto"/>
              <w:left w:val="nil"/>
              <w:bottom w:val="single" w:sz="8" w:space="0" w:color="000000"/>
              <w:right w:val="nil"/>
            </w:tcBorders>
            <w:shd w:val="clear" w:color="auto" w:fill="auto"/>
            <w:hideMark/>
          </w:tcPr>
          <w:p w:rsidR="00EF56CA" w:rsidRPr="00FF17EC" w:rsidRDefault="00EF56CA" w:rsidP="007D1DDB">
            <w:pPr>
              <w:keepNext/>
              <w:keepLines/>
              <w:spacing w:before="100" w:beforeAutospacing="1" w:after="0" w:line="240" w:lineRule="auto"/>
              <w:rPr>
                <w:lang w:eastAsia="it-IT"/>
              </w:rPr>
            </w:pPr>
            <w:r w:rsidRPr="00FF17EC">
              <w:rPr>
                <w:lang w:val="ru-RU" w:eastAsia="it-IT"/>
              </w:rPr>
              <w:t> </w:t>
            </w:r>
          </w:p>
        </w:tc>
        <w:tc>
          <w:tcPr>
            <w:tcW w:w="4162" w:type="dxa"/>
            <w:gridSpan w:val="4"/>
            <w:tcBorders>
              <w:top w:val="single" w:sz="8" w:space="0" w:color="auto"/>
              <w:left w:val="nil"/>
              <w:bottom w:val="single" w:sz="8" w:space="0" w:color="auto"/>
              <w:right w:val="single" w:sz="8" w:space="0" w:color="000000"/>
            </w:tcBorders>
            <w:shd w:val="clear" w:color="auto" w:fill="auto"/>
            <w:hideMark/>
          </w:tcPr>
          <w:p w:rsidR="00EF56CA" w:rsidRPr="00FF17EC" w:rsidRDefault="00EF56CA" w:rsidP="007D1DDB">
            <w:pPr>
              <w:keepNext/>
              <w:keepLines/>
              <w:spacing w:before="100" w:beforeAutospacing="1" w:after="0" w:line="240" w:lineRule="auto"/>
              <w:rPr>
                <w:lang w:eastAsia="it-IT"/>
              </w:rPr>
            </w:pPr>
            <w:r w:rsidRPr="00FF17EC">
              <w:rPr>
                <w:lang w:eastAsia="it-IT"/>
              </w:rPr>
              <w:t>Romania to Serbia</w:t>
            </w:r>
          </w:p>
        </w:tc>
        <w:tc>
          <w:tcPr>
            <w:tcW w:w="3936" w:type="dxa"/>
            <w:gridSpan w:val="5"/>
            <w:tcBorders>
              <w:top w:val="single" w:sz="8" w:space="0" w:color="auto"/>
              <w:left w:val="nil"/>
              <w:bottom w:val="single" w:sz="8" w:space="0" w:color="auto"/>
              <w:right w:val="nil"/>
            </w:tcBorders>
            <w:shd w:val="clear" w:color="auto" w:fill="auto"/>
            <w:hideMark/>
          </w:tcPr>
          <w:p w:rsidR="00EF56CA" w:rsidRPr="00FF17EC" w:rsidRDefault="00EF56CA" w:rsidP="007D1DDB">
            <w:pPr>
              <w:keepNext/>
              <w:keepLines/>
              <w:spacing w:before="100" w:beforeAutospacing="1" w:after="0" w:line="240" w:lineRule="auto"/>
              <w:rPr>
                <w:lang w:eastAsia="it-IT"/>
              </w:rPr>
            </w:pPr>
            <w:r w:rsidRPr="00FF17EC">
              <w:rPr>
                <w:lang w:eastAsia="it-IT"/>
              </w:rPr>
              <w:t>Serbia To Romania</w:t>
            </w:r>
          </w:p>
        </w:tc>
      </w:tr>
      <w:tr w:rsidR="00EF56CA" w:rsidRPr="00FF17EC" w:rsidTr="00EF40E0">
        <w:trPr>
          <w:trHeight w:val="525"/>
        </w:trPr>
        <w:tc>
          <w:tcPr>
            <w:tcW w:w="1165" w:type="dxa"/>
            <w:vMerge/>
            <w:tcBorders>
              <w:top w:val="single" w:sz="8" w:space="0" w:color="auto"/>
              <w:left w:val="nil"/>
              <w:bottom w:val="single" w:sz="8" w:space="0" w:color="000000"/>
              <w:right w:val="nil"/>
            </w:tcBorders>
            <w:vAlign w:val="center"/>
            <w:hideMark/>
          </w:tcPr>
          <w:p w:rsidR="00EF56CA" w:rsidRPr="00FF17EC" w:rsidRDefault="00EF56CA" w:rsidP="007D1DDB">
            <w:pPr>
              <w:keepNext/>
              <w:keepLines/>
              <w:spacing w:before="100" w:beforeAutospacing="1" w:after="0" w:line="240" w:lineRule="auto"/>
              <w:rPr>
                <w:lang w:eastAsia="it-IT"/>
              </w:rPr>
            </w:pPr>
          </w:p>
        </w:tc>
        <w:tc>
          <w:tcPr>
            <w:tcW w:w="880"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All</w:t>
            </w:r>
          </w:p>
        </w:tc>
        <w:tc>
          <w:tcPr>
            <w:tcW w:w="1046"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Passenger cars</w:t>
            </w:r>
          </w:p>
        </w:tc>
        <w:tc>
          <w:tcPr>
            <w:tcW w:w="880"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Buses</w:t>
            </w:r>
          </w:p>
        </w:tc>
        <w:tc>
          <w:tcPr>
            <w:tcW w:w="1356"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Motorcycles</w:t>
            </w:r>
          </w:p>
        </w:tc>
        <w:tc>
          <w:tcPr>
            <w:tcW w:w="767"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All</w:t>
            </w:r>
          </w:p>
        </w:tc>
        <w:tc>
          <w:tcPr>
            <w:tcW w:w="1046"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Passenger cars</w:t>
            </w:r>
          </w:p>
        </w:tc>
        <w:tc>
          <w:tcPr>
            <w:tcW w:w="815"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Buses</w:t>
            </w:r>
          </w:p>
        </w:tc>
        <w:tc>
          <w:tcPr>
            <w:tcW w:w="1308" w:type="dxa"/>
            <w:gridSpan w:val="2"/>
            <w:tcBorders>
              <w:top w:val="nil"/>
              <w:left w:val="nil"/>
              <w:bottom w:val="single" w:sz="8" w:space="0" w:color="auto"/>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Motorcycles</w:t>
            </w:r>
          </w:p>
        </w:tc>
      </w:tr>
      <w:tr w:rsidR="00EF56CA" w:rsidRPr="00FF17EC" w:rsidTr="00EF40E0">
        <w:trPr>
          <w:trHeight w:val="57"/>
        </w:trPr>
        <w:tc>
          <w:tcPr>
            <w:tcW w:w="1165" w:type="dxa"/>
            <w:tcBorders>
              <w:top w:val="nil"/>
              <w:left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-Total</w:t>
            </w:r>
          </w:p>
        </w:tc>
        <w:tc>
          <w:tcPr>
            <w:tcW w:w="880" w:type="dxa"/>
            <w:tcBorders>
              <w:top w:val="nil"/>
              <w:left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583 </w:t>
            </w:r>
          </w:p>
        </w:tc>
        <w:tc>
          <w:tcPr>
            <w:tcW w:w="1046"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578 </w:t>
            </w:r>
          </w:p>
        </w:tc>
        <w:tc>
          <w:tcPr>
            <w:tcW w:w="880"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5 </w:t>
            </w:r>
          </w:p>
        </w:tc>
        <w:tc>
          <w:tcPr>
            <w:tcW w:w="1356"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c>
          <w:tcPr>
            <w:tcW w:w="767"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542 </w:t>
            </w:r>
          </w:p>
        </w:tc>
        <w:tc>
          <w:tcPr>
            <w:tcW w:w="1046"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537 </w:t>
            </w:r>
          </w:p>
        </w:tc>
        <w:tc>
          <w:tcPr>
            <w:tcW w:w="815"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4 </w:t>
            </w:r>
          </w:p>
        </w:tc>
        <w:tc>
          <w:tcPr>
            <w:tcW w:w="1308" w:type="dxa"/>
            <w:gridSpan w:val="2"/>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0 </w:t>
            </w:r>
          </w:p>
        </w:tc>
      </w:tr>
      <w:tr w:rsidR="00EF56CA" w:rsidRPr="00FF17EC" w:rsidTr="00EF40E0">
        <w:trPr>
          <w:gridAfter w:val="2"/>
          <w:wAfter w:w="1308" w:type="dxa"/>
          <w:trHeight w:val="113"/>
        </w:trPr>
        <w:tc>
          <w:tcPr>
            <w:tcW w:w="2045" w:type="dxa"/>
            <w:gridSpan w:val="2"/>
            <w:tcBorders>
              <w:top w:val="nil"/>
              <w:left w:val="nil"/>
              <w:bottom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Out of which:</w:t>
            </w:r>
          </w:p>
        </w:tc>
        <w:tc>
          <w:tcPr>
            <w:tcW w:w="1046"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c>
          <w:tcPr>
            <w:tcW w:w="880"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c>
          <w:tcPr>
            <w:tcW w:w="1356"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c>
          <w:tcPr>
            <w:tcW w:w="767"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c>
          <w:tcPr>
            <w:tcW w:w="1046"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c>
          <w:tcPr>
            <w:tcW w:w="815"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r>
      <w:tr w:rsidR="00EF56CA" w:rsidRPr="00FF17EC" w:rsidTr="00EF40E0">
        <w:trPr>
          <w:trHeight w:val="113"/>
        </w:trPr>
        <w:tc>
          <w:tcPr>
            <w:tcW w:w="1165"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Vatin</w:t>
            </w:r>
          </w:p>
        </w:tc>
        <w:tc>
          <w:tcPr>
            <w:tcW w:w="880"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146 </w:t>
            </w:r>
          </w:p>
        </w:tc>
        <w:tc>
          <w:tcPr>
            <w:tcW w:w="1046"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144 </w:t>
            </w:r>
          </w:p>
        </w:tc>
        <w:tc>
          <w:tcPr>
            <w:tcW w:w="880"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1356"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c>
          <w:tcPr>
            <w:tcW w:w="767"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132 </w:t>
            </w:r>
          </w:p>
        </w:tc>
        <w:tc>
          <w:tcPr>
            <w:tcW w:w="1046"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130 </w:t>
            </w:r>
          </w:p>
        </w:tc>
        <w:tc>
          <w:tcPr>
            <w:tcW w:w="815"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1308" w:type="dxa"/>
            <w:gridSpan w:val="2"/>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0 </w:t>
            </w:r>
          </w:p>
        </w:tc>
      </w:tr>
      <w:tr w:rsidR="00EF56CA" w:rsidRPr="00FF17EC" w:rsidTr="00EF40E0">
        <w:trPr>
          <w:trHeight w:val="113"/>
        </w:trPr>
        <w:tc>
          <w:tcPr>
            <w:tcW w:w="1165"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Srpska Crnja</w:t>
            </w:r>
          </w:p>
        </w:tc>
        <w:tc>
          <w:tcPr>
            <w:tcW w:w="880"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76 </w:t>
            </w:r>
          </w:p>
        </w:tc>
        <w:tc>
          <w:tcPr>
            <w:tcW w:w="1046"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76 </w:t>
            </w:r>
          </w:p>
        </w:tc>
        <w:tc>
          <w:tcPr>
            <w:tcW w:w="880"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 </w:t>
            </w:r>
          </w:p>
        </w:tc>
        <w:tc>
          <w:tcPr>
            <w:tcW w:w="1356"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c>
          <w:tcPr>
            <w:tcW w:w="767"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76 </w:t>
            </w:r>
          </w:p>
        </w:tc>
        <w:tc>
          <w:tcPr>
            <w:tcW w:w="1046"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75 </w:t>
            </w:r>
          </w:p>
        </w:tc>
        <w:tc>
          <w:tcPr>
            <w:tcW w:w="815" w:type="dxa"/>
            <w:tcBorders>
              <w:top w:val="nil"/>
              <w:left w:val="nil"/>
              <w:bottom w:val="nil"/>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 </w:t>
            </w:r>
          </w:p>
        </w:tc>
        <w:tc>
          <w:tcPr>
            <w:tcW w:w="1308" w:type="dxa"/>
            <w:gridSpan w:val="2"/>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r>
      <w:tr w:rsidR="00EF56CA" w:rsidRPr="00FF17EC" w:rsidTr="00EF40E0">
        <w:trPr>
          <w:trHeight w:val="113"/>
        </w:trPr>
        <w:tc>
          <w:tcPr>
            <w:tcW w:w="1165" w:type="dxa"/>
            <w:tcBorders>
              <w:top w:val="nil"/>
              <w:left w:val="nil"/>
              <w:bottom w:val="single" w:sz="4" w:space="0" w:color="auto"/>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Other</w:t>
            </w:r>
          </w:p>
        </w:tc>
        <w:tc>
          <w:tcPr>
            <w:tcW w:w="880" w:type="dxa"/>
            <w:tcBorders>
              <w:top w:val="nil"/>
              <w:left w:val="nil"/>
              <w:bottom w:val="single" w:sz="4" w:space="0" w:color="auto"/>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361 </w:t>
            </w:r>
          </w:p>
        </w:tc>
        <w:tc>
          <w:tcPr>
            <w:tcW w:w="1046" w:type="dxa"/>
            <w:tcBorders>
              <w:top w:val="nil"/>
              <w:left w:val="nil"/>
              <w:bottom w:val="single" w:sz="4" w:space="0" w:color="auto"/>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359 </w:t>
            </w:r>
          </w:p>
        </w:tc>
        <w:tc>
          <w:tcPr>
            <w:tcW w:w="880" w:type="dxa"/>
            <w:tcBorders>
              <w:top w:val="nil"/>
              <w:left w:val="nil"/>
              <w:bottom w:val="single" w:sz="4" w:space="0" w:color="auto"/>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1356" w:type="dxa"/>
            <w:tcBorders>
              <w:top w:val="nil"/>
              <w:left w:val="nil"/>
              <w:bottom w:val="single" w:sz="4" w:space="0" w:color="auto"/>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 </w:t>
            </w:r>
          </w:p>
        </w:tc>
        <w:tc>
          <w:tcPr>
            <w:tcW w:w="767" w:type="dxa"/>
            <w:tcBorders>
              <w:top w:val="nil"/>
              <w:left w:val="nil"/>
              <w:bottom w:val="single" w:sz="4" w:space="0" w:color="auto"/>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333 </w:t>
            </w:r>
          </w:p>
        </w:tc>
        <w:tc>
          <w:tcPr>
            <w:tcW w:w="1046" w:type="dxa"/>
            <w:tcBorders>
              <w:top w:val="nil"/>
              <w:left w:val="nil"/>
              <w:bottom w:val="single" w:sz="4" w:space="0" w:color="auto"/>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332 </w:t>
            </w:r>
          </w:p>
        </w:tc>
        <w:tc>
          <w:tcPr>
            <w:tcW w:w="815" w:type="dxa"/>
            <w:tcBorders>
              <w:top w:val="nil"/>
              <w:left w:val="nil"/>
              <w:bottom w:val="single" w:sz="4" w:space="0" w:color="auto"/>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1308" w:type="dxa"/>
            <w:gridSpan w:val="2"/>
            <w:tcBorders>
              <w:top w:val="nil"/>
              <w:left w:val="nil"/>
              <w:bottom w:val="single" w:sz="4" w:space="0" w:color="auto"/>
              <w:right w:val="nil"/>
            </w:tcBorders>
            <w:shd w:val="clear" w:color="auto" w:fill="auto"/>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0 </w:t>
            </w:r>
          </w:p>
        </w:tc>
      </w:tr>
      <w:tr w:rsidR="007D1DDB" w:rsidRPr="00FF17EC" w:rsidTr="006433A2">
        <w:trPr>
          <w:trHeight w:val="315"/>
        </w:trPr>
        <w:tc>
          <w:tcPr>
            <w:tcW w:w="9263" w:type="dxa"/>
            <w:gridSpan w:val="10"/>
            <w:tcBorders>
              <w:top w:val="nil"/>
              <w:left w:val="nil"/>
              <w:bottom w:val="nil"/>
              <w:right w:val="nil"/>
            </w:tcBorders>
            <w:shd w:val="clear" w:color="auto" w:fill="auto"/>
            <w:noWrap/>
            <w:vAlign w:val="bottom"/>
            <w:hideMark/>
          </w:tcPr>
          <w:p w:rsidR="007D1DDB" w:rsidRPr="00FF17EC" w:rsidRDefault="007D1DDB" w:rsidP="007D1DDB">
            <w:pPr>
              <w:keepNext/>
              <w:keepLines/>
              <w:spacing w:before="100" w:beforeAutospacing="1" w:after="0" w:line="240" w:lineRule="auto"/>
              <w:rPr>
                <w:b/>
                <w:lang w:eastAsia="it-IT"/>
              </w:rPr>
            </w:pPr>
          </w:p>
        </w:tc>
      </w:tr>
      <w:tr w:rsidR="00EF56CA" w:rsidRPr="00FF17EC" w:rsidTr="006433A2">
        <w:trPr>
          <w:trHeight w:val="315"/>
        </w:trPr>
        <w:tc>
          <w:tcPr>
            <w:tcW w:w="9263" w:type="dxa"/>
            <w:gridSpan w:val="10"/>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rFonts w:cs="Arial"/>
                <w:b/>
                <w:lang w:eastAsia="it-IT"/>
              </w:rPr>
            </w:pPr>
            <w:r w:rsidRPr="00FF17EC">
              <w:rPr>
                <w:b/>
                <w:lang w:eastAsia="it-IT"/>
              </w:rPr>
              <w:t>Vehicles crossings the border between Serbia and Romania in 2012 (vehicles per day)</w:t>
            </w:r>
          </w:p>
        </w:tc>
      </w:tr>
      <w:tr w:rsidR="00EF56CA" w:rsidRPr="00FF17EC" w:rsidTr="00EF40E0">
        <w:trPr>
          <w:trHeight w:val="315"/>
        </w:trPr>
        <w:tc>
          <w:tcPr>
            <w:tcW w:w="1165" w:type="dxa"/>
            <w:vMerge w:val="restart"/>
            <w:tcBorders>
              <w:top w:val="single" w:sz="8" w:space="0" w:color="auto"/>
              <w:left w:val="nil"/>
              <w:bottom w:val="single" w:sz="8" w:space="0" w:color="000000"/>
              <w:right w:val="nil"/>
            </w:tcBorders>
            <w:shd w:val="clear" w:color="auto" w:fill="auto"/>
            <w:hideMark/>
          </w:tcPr>
          <w:p w:rsidR="00EF56CA" w:rsidRPr="00FF17EC" w:rsidRDefault="00EF56CA" w:rsidP="007D1DDB">
            <w:pPr>
              <w:keepNext/>
              <w:keepLines/>
              <w:spacing w:before="100" w:beforeAutospacing="1" w:after="0" w:line="240" w:lineRule="auto"/>
              <w:rPr>
                <w:lang w:eastAsia="it-IT"/>
              </w:rPr>
            </w:pPr>
            <w:r w:rsidRPr="00FF17EC">
              <w:rPr>
                <w:lang w:val="ru-RU" w:eastAsia="it-IT"/>
              </w:rPr>
              <w:t> </w:t>
            </w:r>
          </w:p>
        </w:tc>
        <w:tc>
          <w:tcPr>
            <w:tcW w:w="4162" w:type="dxa"/>
            <w:gridSpan w:val="4"/>
            <w:tcBorders>
              <w:top w:val="single" w:sz="8" w:space="0" w:color="auto"/>
              <w:left w:val="nil"/>
              <w:bottom w:val="single" w:sz="8" w:space="0" w:color="auto"/>
              <w:right w:val="single" w:sz="8" w:space="0" w:color="000000"/>
            </w:tcBorders>
            <w:shd w:val="clear" w:color="auto" w:fill="auto"/>
            <w:hideMark/>
          </w:tcPr>
          <w:p w:rsidR="00EF56CA" w:rsidRPr="00FF17EC" w:rsidRDefault="00EF56CA" w:rsidP="007D1DDB">
            <w:pPr>
              <w:keepNext/>
              <w:keepLines/>
              <w:spacing w:before="100" w:beforeAutospacing="1" w:after="0" w:line="240" w:lineRule="auto"/>
              <w:rPr>
                <w:lang w:eastAsia="it-IT"/>
              </w:rPr>
            </w:pPr>
            <w:r w:rsidRPr="00FF17EC">
              <w:rPr>
                <w:lang w:eastAsia="it-IT"/>
              </w:rPr>
              <w:t>Romania to Serbia</w:t>
            </w:r>
          </w:p>
        </w:tc>
        <w:tc>
          <w:tcPr>
            <w:tcW w:w="3936" w:type="dxa"/>
            <w:gridSpan w:val="5"/>
            <w:tcBorders>
              <w:top w:val="single" w:sz="8" w:space="0" w:color="auto"/>
              <w:left w:val="nil"/>
              <w:bottom w:val="single" w:sz="8" w:space="0" w:color="auto"/>
              <w:right w:val="nil"/>
            </w:tcBorders>
            <w:shd w:val="clear" w:color="auto" w:fill="auto"/>
            <w:hideMark/>
          </w:tcPr>
          <w:p w:rsidR="00EF56CA" w:rsidRPr="00FF17EC" w:rsidRDefault="00EF56CA" w:rsidP="007D1DDB">
            <w:pPr>
              <w:keepNext/>
              <w:keepLines/>
              <w:spacing w:before="100" w:beforeAutospacing="1" w:after="0" w:line="240" w:lineRule="auto"/>
              <w:rPr>
                <w:lang w:eastAsia="it-IT"/>
              </w:rPr>
            </w:pPr>
            <w:r w:rsidRPr="00FF17EC">
              <w:rPr>
                <w:lang w:eastAsia="it-IT"/>
              </w:rPr>
              <w:t>Serbia To Romania</w:t>
            </w:r>
          </w:p>
        </w:tc>
      </w:tr>
      <w:tr w:rsidR="00EF56CA" w:rsidRPr="00FF17EC" w:rsidTr="00EF40E0">
        <w:trPr>
          <w:trHeight w:val="525"/>
        </w:trPr>
        <w:tc>
          <w:tcPr>
            <w:tcW w:w="1165" w:type="dxa"/>
            <w:vMerge/>
            <w:tcBorders>
              <w:top w:val="single" w:sz="8" w:space="0" w:color="auto"/>
              <w:left w:val="nil"/>
              <w:bottom w:val="single" w:sz="8" w:space="0" w:color="000000"/>
              <w:right w:val="nil"/>
            </w:tcBorders>
            <w:vAlign w:val="center"/>
            <w:hideMark/>
          </w:tcPr>
          <w:p w:rsidR="00EF56CA" w:rsidRPr="00FF17EC" w:rsidRDefault="00EF56CA" w:rsidP="007D1DDB">
            <w:pPr>
              <w:keepNext/>
              <w:keepLines/>
              <w:spacing w:before="100" w:beforeAutospacing="1" w:after="0" w:line="240" w:lineRule="auto"/>
              <w:rPr>
                <w:lang w:eastAsia="it-IT"/>
              </w:rPr>
            </w:pPr>
          </w:p>
        </w:tc>
        <w:tc>
          <w:tcPr>
            <w:tcW w:w="880"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All</w:t>
            </w:r>
          </w:p>
        </w:tc>
        <w:tc>
          <w:tcPr>
            <w:tcW w:w="1046"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Passenger cars</w:t>
            </w:r>
          </w:p>
        </w:tc>
        <w:tc>
          <w:tcPr>
            <w:tcW w:w="880"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Buses</w:t>
            </w:r>
          </w:p>
        </w:tc>
        <w:tc>
          <w:tcPr>
            <w:tcW w:w="1356"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Motorcycles</w:t>
            </w:r>
          </w:p>
        </w:tc>
        <w:tc>
          <w:tcPr>
            <w:tcW w:w="767"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All</w:t>
            </w:r>
          </w:p>
        </w:tc>
        <w:tc>
          <w:tcPr>
            <w:tcW w:w="1046" w:type="dxa"/>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Passenger cars</w:t>
            </w:r>
          </w:p>
        </w:tc>
        <w:tc>
          <w:tcPr>
            <w:tcW w:w="880" w:type="dxa"/>
            <w:gridSpan w:val="2"/>
            <w:tcBorders>
              <w:top w:val="nil"/>
              <w:left w:val="nil"/>
              <w:bottom w:val="single" w:sz="8" w:space="0" w:color="auto"/>
              <w:right w:val="single" w:sz="8" w:space="0" w:color="auto"/>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Buses</w:t>
            </w:r>
          </w:p>
        </w:tc>
        <w:tc>
          <w:tcPr>
            <w:tcW w:w="1243" w:type="dxa"/>
            <w:tcBorders>
              <w:top w:val="nil"/>
              <w:left w:val="nil"/>
              <w:bottom w:val="single" w:sz="8" w:space="0" w:color="auto"/>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Motorcycles</w:t>
            </w:r>
          </w:p>
        </w:tc>
      </w:tr>
      <w:tr w:rsidR="00EF56CA" w:rsidRPr="00FF17EC" w:rsidTr="00EF40E0">
        <w:trPr>
          <w:trHeight w:val="20"/>
        </w:trPr>
        <w:tc>
          <w:tcPr>
            <w:tcW w:w="1165"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p>
        </w:tc>
        <w:tc>
          <w:tcPr>
            <w:tcW w:w="880"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930 </w:t>
            </w:r>
          </w:p>
        </w:tc>
        <w:tc>
          <w:tcPr>
            <w:tcW w:w="1046"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923 </w:t>
            </w:r>
          </w:p>
        </w:tc>
        <w:tc>
          <w:tcPr>
            <w:tcW w:w="880"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5 </w:t>
            </w:r>
          </w:p>
        </w:tc>
        <w:tc>
          <w:tcPr>
            <w:tcW w:w="1356"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767"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865 </w:t>
            </w:r>
          </w:p>
        </w:tc>
        <w:tc>
          <w:tcPr>
            <w:tcW w:w="1046"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859 </w:t>
            </w:r>
          </w:p>
        </w:tc>
        <w:tc>
          <w:tcPr>
            <w:tcW w:w="880" w:type="dxa"/>
            <w:gridSpan w:val="2"/>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4 </w:t>
            </w:r>
          </w:p>
        </w:tc>
        <w:tc>
          <w:tcPr>
            <w:tcW w:w="1243"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r>
      <w:tr w:rsidR="00EF56CA" w:rsidRPr="00FF17EC" w:rsidTr="00EF40E0">
        <w:trPr>
          <w:trHeight w:val="20"/>
        </w:trPr>
        <w:tc>
          <w:tcPr>
            <w:tcW w:w="2045" w:type="dxa"/>
            <w:gridSpan w:val="2"/>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noProof/>
                <w:lang w:eastAsia="it-IT"/>
              </w:rPr>
              <w:t>Out of which:</w:t>
            </w:r>
          </w:p>
        </w:tc>
        <w:tc>
          <w:tcPr>
            <w:tcW w:w="1046" w:type="dxa"/>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c>
          <w:tcPr>
            <w:tcW w:w="880" w:type="dxa"/>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c>
          <w:tcPr>
            <w:tcW w:w="1356" w:type="dxa"/>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c>
          <w:tcPr>
            <w:tcW w:w="767" w:type="dxa"/>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c>
          <w:tcPr>
            <w:tcW w:w="1046" w:type="dxa"/>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c>
          <w:tcPr>
            <w:tcW w:w="880" w:type="dxa"/>
            <w:gridSpan w:val="2"/>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c>
          <w:tcPr>
            <w:tcW w:w="1243" w:type="dxa"/>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r>
      <w:tr w:rsidR="00EF56CA" w:rsidRPr="00FF17EC" w:rsidTr="00EF40E0">
        <w:trPr>
          <w:trHeight w:val="20"/>
        </w:trPr>
        <w:tc>
          <w:tcPr>
            <w:tcW w:w="1165" w:type="dxa"/>
            <w:tcBorders>
              <w:top w:val="nil"/>
              <w:left w:val="nil"/>
              <w:bottom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Mokranje</w:t>
            </w:r>
          </w:p>
        </w:tc>
        <w:tc>
          <w:tcPr>
            <w:tcW w:w="880"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79 </w:t>
            </w:r>
          </w:p>
        </w:tc>
        <w:tc>
          <w:tcPr>
            <w:tcW w:w="1046"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78 </w:t>
            </w:r>
          </w:p>
        </w:tc>
        <w:tc>
          <w:tcPr>
            <w:tcW w:w="880"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0 </w:t>
            </w:r>
          </w:p>
        </w:tc>
        <w:tc>
          <w:tcPr>
            <w:tcW w:w="1356" w:type="dxa"/>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c>
          <w:tcPr>
            <w:tcW w:w="767"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64 </w:t>
            </w:r>
          </w:p>
        </w:tc>
        <w:tc>
          <w:tcPr>
            <w:tcW w:w="1046" w:type="dxa"/>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64 </w:t>
            </w:r>
          </w:p>
        </w:tc>
        <w:tc>
          <w:tcPr>
            <w:tcW w:w="880" w:type="dxa"/>
            <w:gridSpan w:val="2"/>
            <w:tcBorders>
              <w:top w:val="nil"/>
              <w:left w:val="nil"/>
              <w:bottom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0 </w:t>
            </w:r>
          </w:p>
        </w:tc>
        <w:tc>
          <w:tcPr>
            <w:tcW w:w="1243" w:type="dxa"/>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r>
      <w:tr w:rsidR="00EF56CA" w:rsidRPr="00FF17EC" w:rsidTr="00EF40E0">
        <w:trPr>
          <w:trHeight w:val="20"/>
        </w:trPr>
        <w:tc>
          <w:tcPr>
            <w:tcW w:w="1165" w:type="dxa"/>
            <w:tcBorders>
              <w:top w:val="nil"/>
              <w:left w:val="nil"/>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Đerdap</w:t>
            </w:r>
          </w:p>
        </w:tc>
        <w:tc>
          <w:tcPr>
            <w:tcW w:w="880" w:type="dxa"/>
            <w:tcBorders>
              <w:top w:val="nil"/>
              <w:left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412 </w:t>
            </w:r>
          </w:p>
        </w:tc>
        <w:tc>
          <w:tcPr>
            <w:tcW w:w="1046" w:type="dxa"/>
            <w:tcBorders>
              <w:top w:val="nil"/>
              <w:left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410 </w:t>
            </w:r>
          </w:p>
        </w:tc>
        <w:tc>
          <w:tcPr>
            <w:tcW w:w="880" w:type="dxa"/>
            <w:tcBorders>
              <w:top w:val="nil"/>
              <w:left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1356" w:type="dxa"/>
            <w:tcBorders>
              <w:top w:val="nil"/>
              <w:left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c>
          <w:tcPr>
            <w:tcW w:w="767" w:type="dxa"/>
            <w:tcBorders>
              <w:top w:val="nil"/>
              <w:left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353 </w:t>
            </w:r>
          </w:p>
        </w:tc>
        <w:tc>
          <w:tcPr>
            <w:tcW w:w="1046" w:type="dxa"/>
            <w:tcBorders>
              <w:top w:val="nil"/>
              <w:left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351 </w:t>
            </w:r>
          </w:p>
        </w:tc>
        <w:tc>
          <w:tcPr>
            <w:tcW w:w="880" w:type="dxa"/>
            <w:gridSpan w:val="2"/>
            <w:tcBorders>
              <w:top w:val="nil"/>
              <w:left w:val="nil"/>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1243" w:type="dxa"/>
            <w:tcBorders>
              <w:top w:val="nil"/>
              <w:left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r>
      <w:tr w:rsidR="00EF56CA" w:rsidRPr="00FF17EC" w:rsidTr="00EF40E0">
        <w:trPr>
          <w:trHeight w:val="20"/>
        </w:trPr>
        <w:tc>
          <w:tcPr>
            <w:tcW w:w="1165" w:type="dxa"/>
            <w:tcBorders>
              <w:top w:val="nil"/>
              <w:left w:val="nil"/>
              <w:bottom w:val="single" w:sz="4" w:space="0" w:color="auto"/>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Kaluđerovo</w:t>
            </w:r>
          </w:p>
        </w:tc>
        <w:tc>
          <w:tcPr>
            <w:tcW w:w="880" w:type="dxa"/>
            <w:tcBorders>
              <w:top w:val="nil"/>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171 </w:t>
            </w:r>
          </w:p>
        </w:tc>
        <w:tc>
          <w:tcPr>
            <w:tcW w:w="1046" w:type="dxa"/>
            <w:tcBorders>
              <w:top w:val="nil"/>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169 </w:t>
            </w:r>
          </w:p>
        </w:tc>
        <w:tc>
          <w:tcPr>
            <w:tcW w:w="880" w:type="dxa"/>
            <w:tcBorders>
              <w:top w:val="nil"/>
              <w:left w:val="nil"/>
              <w:bottom w:val="single" w:sz="4" w:space="0" w:color="auto"/>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c>
          <w:tcPr>
            <w:tcW w:w="1356" w:type="dxa"/>
            <w:tcBorders>
              <w:top w:val="nil"/>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767" w:type="dxa"/>
            <w:tcBorders>
              <w:top w:val="nil"/>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173 </w:t>
            </w:r>
          </w:p>
        </w:tc>
        <w:tc>
          <w:tcPr>
            <w:tcW w:w="1046" w:type="dxa"/>
            <w:tcBorders>
              <w:top w:val="nil"/>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171 </w:t>
            </w:r>
          </w:p>
        </w:tc>
        <w:tc>
          <w:tcPr>
            <w:tcW w:w="880" w:type="dxa"/>
            <w:gridSpan w:val="2"/>
            <w:tcBorders>
              <w:top w:val="nil"/>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0 </w:t>
            </w:r>
          </w:p>
        </w:tc>
        <w:tc>
          <w:tcPr>
            <w:tcW w:w="1243" w:type="dxa"/>
            <w:tcBorders>
              <w:top w:val="nil"/>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r>
      <w:tr w:rsidR="00EF56CA" w:rsidRPr="00FF17EC" w:rsidTr="00EF40E0">
        <w:trPr>
          <w:trHeight w:val="20"/>
        </w:trPr>
        <w:tc>
          <w:tcPr>
            <w:tcW w:w="1165" w:type="dxa"/>
            <w:tcBorders>
              <w:top w:val="single" w:sz="4" w:space="0" w:color="auto"/>
              <w:left w:val="nil"/>
              <w:bottom w:val="single" w:sz="4" w:space="0" w:color="auto"/>
              <w:right w:val="nil"/>
            </w:tcBorders>
            <w:shd w:val="clear" w:color="auto" w:fill="auto"/>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Other</w:t>
            </w:r>
          </w:p>
        </w:tc>
        <w:tc>
          <w:tcPr>
            <w:tcW w:w="880" w:type="dxa"/>
            <w:tcBorders>
              <w:top w:val="single" w:sz="4" w:space="0" w:color="auto"/>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268 </w:t>
            </w:r>
          </w:p>
        </w:tc>
        <w:tc>
          <w:tcPr>
            <w:tcW w:w="1046" w:type="dxa"/>
            <w:tcBorders>
              <w:top w:val="single" w:sz="4" w:space="0" w:color="auto"/>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265 </w:t>
            </w:r>
          </w:p>
        </w:tc>
        <w:tc>
          <w:tcPr>
            <w:tcW w:w="880" w:type="dxa"/>
            <w:tcBorders>
              <w:top w:val="single" w:sz="4" w:space="0" w:color="auto"/>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1356" w:type="dxa"/>
            <w:tcBorders>
              <w:top w:val="single" w:sz="4" w:space="0" w:color="auto"/>
              <w:left w:val="nil"/>
              <w:bottom w:val="single" w:sz="4" w:space="0" w:color="auto"/>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 </w:t>
            </w:r>
          </w:p>
        </w:tc>
        <w:tc>
          <w:tcPr>
            <w:tcW w:w="767" w:type="dxa"/>
            <w:tcBorders>
              <w:top w:val="single" w:sz="4" w:space="0" w:color="auto"/>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275 </w:t>
            </w:r>
          </w:p>
        </w:tc>
        <w:tc>
          <w:tcPr>
            <w:tcW w:w="1046" w:type="dxa"/>
            <w:tcBorders>
              <w:top w:val="single" w:sz="4" w:space="0" w:color="auto"/>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273 </w:t>
            </w:r>
          </w:p>
        </w:tc>
        <w:tc>
          <w:tcPr>
            <w:tcW w:w="880" w:type="dxa"/>
            <w:gridSpan w:val="2"/>
            <w:tcBorders>
              <w:top w:val="single" w:sz="4" w:space="0" w:color="auto"/>
              <w:left w:val="nil"/>
              <w:bottom w:val="single" w:sz="4" w:space="0" w:color="auto"/>
              <w:right w:val="nil"/>
            </w:tcBorders>
            <w:shd w:val="clear" w:color="auto" w:fill="auto"/>
            <w:noWrap/>
            <w:vAlign w:val="bottom"/>
            <w:hideMark/>
          </w:tcPr>
          <w:p w:rsidR="00EF56CA" w:rsidRPr="00FF17EC" w:rsidRDefault="005A52D9" w:rsidP="007D1DDB">
            <w:pPr>
              <w:keepNext/>
              <w:keepLines/>
              <w:spacing w:before="100" w:beforeAutospacing="1" w:after="0" w:line="240" w:lineRule="auto"/>
              <w:rPr>
                <w:lang w:eastAsia="it-IT"/>
              </w:rPr>
            </w:pPr>
            <w:r w:rsidRPr="00FF17EC">
              <w:rPr>
                <w:lang w:eastAsia="it-IT"/>
              </w:rPr>
              <w:t xml:space="preserve"> </w:t>
            </w:r>
            <w:r w:rsidR="00EF56CA" w:rsidRPr="00FF17EC">
              <w:rPr>
                <w:lang w:eastAsia="it-IT"/>
              </w:rPr>
              <w:t xml:space="preserve">2 </w:t>
            </w:r>
          </w:p>
        </w:tc>
        <w:tc>
          <w:tcPr>
            <w:tcW w:w="1243" w:type="dxa"/>
            <w:tcBorders>
              <w:top w:val="single" w:sz="4" w:space="0" w:color="auto"/>
              <w:left w:val="nil"/>
              <w:bottom w:val="single" w:sz="4" w:space="0" w:color="auto"/>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 </w:t>
            </w:r>
          </w:p>
        </w:tc>
      </w:tr>
      <w:tr w:rsidR="00EF56CA" w:rsidRPr="00FF17EC" w:rsidTr="006433A2">
        <w:trPr>
          <w:trHeight w:val="291"/>
        </w:trPr>
        <w:tc>
          <w:tcPr>
            <w:tcW w:w="8020" w:type="dxa"/>
            <w:gridSpan w:val="9"/>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r w:rsidRPr="00FF17EC">
              <w:rPr>
                <w:lang w:eastAsia="it-IT"/>
              </w:rPr>
              <w:t xml:space="preserve">Source: NIS Serbia </w:t>
            </w:r>
            <w:r w:rsidR="00A031AE" w:rsidRPr="00FF17EC">
              <w:rPr>
                <w:lang w:eastAsia="it-IT"/>
              </w:rPr>
              <w:t>Border police data on b</w:t>
            </w:r>
            <w:r w:rsidRPr="00FF17EC">
              <w:rPr>
                <w:lang w:eastAsia="it-IT"/>
              </w:rPr>
              <w:t>order traffic of motor vehicles and passengers</w:t>
            </w:r>
            <w:r w:rsidR="00A031AE" w:rsidRPr="00FF17EC">
              <w:rPr>
                <w:lang w:eastAsia="it-IT"/>
              </w:rPr>
              <w:t>.</w:t>
            </w:r>
          </w:p>
        </w:tc>
        <w:tc>
          <w:tcPr>
            <w:tcW w:w="1243" w:type="dxa"/>
            <w:tcBorders>
              <w:top w:val="nil"/>
              <w:left w:val="nil"/>
              <w:bottom w:val="nil"/>
              <w:right w:val="nil"/>
            </w:tcBorders>
            <w:shd w:val="clear" w:color="auto" w:fill="auto"/>
            <w:noWrap/>
            <w:vAlign w:val="bottom"/>
            <w:hideMark/>
          </w:tcPr>
          <w:p w:rsidR="00EF56CA" w:rsidRPr="00FF17EC" w:rsidRDefault="00EF56CA" w:rsidP="007D1DDB">
            <w:pPr>
              <w:keepNext/>
              <w:keepLines/>
              <w:spacing w:before="100" w:beforeAutospacing="1" w:after="0" w:line="240" w:lineRule="auto"/>
              <w:rPr>
                <w:lang w:eastAsia="it-IT"/>
              </w:rPr>
            </w:pPr>
          </w:p>
        </w:tc>
      </w:tr>
    </w:tbl>
    <w:p w:rsidR="00EF56CA" w:rsidRPr="00FF17EC" w:rsidRDefault="00EF56CA" w:rsidP="00A031AE">
      <w:pPr>
        <w:pStyle w:val="Caption"/>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7</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4</w:t>
      </w:r>
      <w:r w:rsidR="00085686" w:rsidRPr="00FF17EC">
        <w:rPr>
          <w:noProof/>
        </w:rPr>
        <w:fldChar w:fldCharType="end"/>
      </w:r>
      <w:r w:rsidRPr="00FF17EC">
        <w:t xml:space="preserve"> </w:t>
      </w:r>
      <w:r w:rsidRPr="00FF17EC">
        <w:rPr>
          <w:rFonts w:cs="Times New Roman"/>
          <w:iCs/>
          <w:color w:val="000000"/>
          <w:lang w:eastAsia="it-IT"/>
        </w:rPr>
        <w:t>Traffic at the border crossing Romania- Serbia</w:t>
      </w:r>
    </w:p>
    <w:p w:rsidR="00EF56CA" w:rsidRPr="00FF17EC" w:rsidRDefault="00EF56CA" w:rsidP="00EF56CA">
      <w:r w:rsidRPr="00FF17EC">
        <w:t xml:space="preserve">The travelling time measured for cars, proves that all capitals of districts and counties can reach at least one neighbour town on the other side of the border in less or roughly 2 hours (table </w:t>
      </w:r>
      <w:r w:rsidRPr="00FF17EC">
        <w:lastRenderedPageBreak/>
        <w:t xml:space="preserve">7.5). This time distances are compatible with daily commuting for social and economic activities. </w:t>
      </w:r>
    </w:p>
    <w:p w:rsidR="00EF56CA" w:rsidRPr="00FF17EC" w:rsidRDefault="00EF56CA" w:rsidP="00EF56CA">
      <w:r w:rsidRPr="00FF17EC">
        <w:t>Considering the common availability of resources especially natural and cultural heritage, the cross border distances allow the identification of a potential for stronger interaction and cooperation, for the access to basic services by the local population, for the creation of joint business initiatives, especially in the area of tourism, and for the development of cultural partnerships and networks.</w:t>
      </w:r>
    </w:p>
    <w:tbl>
      <w:tblPr>
        <w:tblW w:w="9360" w:type="dxa"/>
        <w:tblInd w:w="18" w:type="dxa"/>
        <w:tblLayout w:type="fixed"/>
        <w:tblLook w:val="04A0" w:firstRow="1" w:lastRow="0" w:firstColumn="1" w:lastColumn="0" w:noHBand="0" w:noVBand="1"/>
      </w:tblPr>
      <w:tblGrid>
        <w:gridCol w:w="1350"/>
        <w:gridCol w:w="1080"/>
        <w:gridCol w:w="1080"/>
        <w:gridCol w:w="720"/>
        <w:gridCol w:w="810"/>
        <w:gridCol w:w="1050"/>
        <w:gridCol w:w="1050"/>
        <w:gridCol w:w="1140"/>
        <w:gridCol w:w="1080"/>
      </w:tblGrid>
      <w:tr w:rsidR="0042169D" w:rsidRPr="00FF17EC" w:rsidTr="0042169D">
        <w:trPr>
          <w:trHeight w:val="375"/>
        </w:trPr>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ind w:left="-108" w:right="-102"/>
              <w:jc w:val="left"/>
              <w:rPr>
                <w:rFonts w:cs="Calibri"/>
                <w:bCs/>
                <w:lang w:val="en-US"/>
              </w:rPr>
            </w:pPr>
            <w:r w:rsidRPr="00FF17EC">
              <w:rPr>
                <w:rFonts w:cs="Calibri"/>
                <w:bCs/>
                <w:lang w:val="en-US"/>
              </w:rPr>
              <w:t>Timisoara</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rsidR="00767D02" w:rsidRPr="00FF17EC" w:rsidRDefault="00767D02" w:rsidP="00767D02">
            <w:pPr>
              <w:spacing w:after="0" w:line="240" w:lineRule="auto"/>
              <w:ind w:left="-108" w:right="-102"/>
              <w:jc w:val="left"/>
              <w:rPr>
                <w:rFonts w:cs="Calibri"/>
                <w:bCs/>
                <w:lang w:val="en-US"/>
              </w:rPr>
            </w:pPr>
            <w:r w:rsidRPr="00FF17EC">
              <w:rPr>
                <w:rFonts w:cs="Calibri"/>
                <w:bCs/>
                <w:lang w:val="en-US"/>
              </w:rPr>
              <w:t>T. Severin</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ind w:left="-108" w:right="-102"/>
              <w:jc w:val="left"/>
              <w:rPr>
                <w:rFonts w:cs="Calibri"/>
                <w:bCs/>
                <w:lang w:val="en-US"/>
              </w:rPr>
            </w:pPr>
            <w:r w:rsidRPr="00FF17EC">
              <w:rPr>
                <w:rFonts w:cs="Calibri"/>
                <w:bCs/>
                <w:lang w:val="en-US"/>
              </w:rPr>
              <w:t>Resita</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ind w:left="-108" w:right="-102"/>
              <w:jc w:val="left"/>
              <w:rPr>
                <w:rFonts w:cs="Calibri"/>
                <w:bCs/>
                <w:lang w:val="en-US"/>
              </w:rPr>
            </w:pPr>
            <w:r w:rsidRPr="00FF17EC">
              <w:rPr>
                <w:rFonts w:cs="Calibri"/>
                <w:bCs/>
                <w:lang w:val="en-US"/>
              </w:rPr>
              <w:t>Kikinda</w:t>
            </w:r>
          </w:p>
        </w:tc>
        <w:tc>
          <w:tcPr>
            <w:tcW w:w="1050" w:type="dxa"/>
            <w:tcBorders>
              <w:top w:val="single" w:sz="4" w:space="0" w:color="auto"/>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ind w:left="-108" w:right="-102"/>
              <w:jc w:val="left"/>
              <w:rPr>
                <w:rFonts w:cs="Calibri"/>
                <w:bCs/>
                <w:lang w:val="en-US"/>
              </w:rPr>
            </w:pPr>
            <w:r w:rsidRPr="00FF17EC">
              <w:rPr>
                <w:rFonts w:cs="Calibri"/>
                <w:bCs/>
                <w:lang w:val="en-US"/>
              </w:rPr>
              <w:t>Zrenjanin</w:t>
            </w:r>
          </w:p>
        </w:tc>
        <w:tc>
          <w:tcPr>
            <w:tcW w:w="1050" w:type="dxa"/>
            <w:tcBorders>
              <w:top w:val="single" w:sz="4" w:space="0" w:color="auto"/>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ind w:left="-108" w:right="-102"/>
              <w:jc w:val="left"/>
              <w:rPr>
                <w:rFonts w:cs="Calibri"/>
                <w:bCs/>
                <w:lang w:val="en-US"/>
              </w:rPr>
            </w:pPr>
            <w:r w:rsidRPr="00FF17EC">
              <w:rPr>
                <w:rFonts w:cs="Calibri"/>
                <w:bCs/>
                <w:lang w:val="en-US"/>
              </w:rPr>
              <w:t>Pancevo</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ind w:left="-108" w:right="-102"/>
              <w:jc w:val="left"/>
              <w:rPr>
                <w:rFonts w:cs="Calibri"/>
                <w:bCs/>
                <w:lang w:val="en-US"/>
              </w:rPr>
            </w:pPr>
            <w:r w:rsidRPr="00FF17EC">
              <w:rPr>
                <w:rFonts w:cs="Calibri"/>
                <w:bCs/>
                <w:lang w:val="en-US"/>
              </w:rPr>
              <w:t>Smederevo</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ind w:left="-108" w:right="-102"/>
              <w:jc w:val="left"/>
              <w:rPr>
                <w:rFonts w:cs="Calibri"/>
                <w:bCs/>
                <w:lang w:val="en-US"/>
              </w:rPr>
            </w:pPr>
            <w:r w:rsidRPr="00FF17EC">
              <w:rPr>
                <w:rFonts w:cs="Calibri"/>
                <w:bCs/>
                <w:lang w:val="en-US"/>
              </w:rPr>
              <w:t>Pozarevac</w:t>
            </w:r>
          </w:p>
        </w:tc>
      </w:tr>
      <w:tr w:rsidR="0042169D" w:rsidRPr="00FF17EC" w:rsidTr="0042169D">
        <w:trPr>
          <w:trHeight w:val="283"/>
        </w:trPr>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Timisoara</w:t>
            </w:r>
          </w:p>
        </w:tc>
        <w:tc>
          <w:tcPr>
            <w:tcW w:w="1080" w:type="dxa"/>
            <w:tcBorders>
              <w:top w:val="nil"/>
              <w:left w:val="nil"/>
              <w:bottom w:val="single" w:sz="4" w:space="0" w:color="auto"/>
              <w:right w:val="single" w:sz="4" w:space="0" w:color="auto"/>
            </w:tcBorders>
            <w:shd w:val="clear" w:color="000000" w:fill="C4BD97"/>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72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81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14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r>
      <w:tr w:rsidR="0042169D" w:rsidRPr="00FF17EC" w:rsidTr="0042169D">
        <w:trPr>
          <w:trHeight w:val="283"/>
        </w:trPr>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T. Severin</w:t>
            </w:r>
          </w:p>
        </w:tc>
        <w:tc>
          <w:tcPr>
            <w:tcW w:w="1080" w:type="dxa"/>
            <w:tcBorders>
              <w:top w:val="nil"/>
              <w:left w:val="nil"/>
              <w:bottom w:val="single" w:sz="4" w:space="0" w:color="auto"/>
              <w:right w:val="single" w:sz="4" w:space="0" w:color="auto"/>
            </w:tcBorders>
            <w:shd w:val="clear" w:color="000000" w:fill="E6B8B7"/>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4.17</w:t>
            </w:r>
          </w:p>
        </w:tc>
        <w:tc>
          <w:tcPr>
            <w:tcW w:w="1080" w:type="dxa"/>
            <w:tcBorders>
              <w:top w:val="nil"/>
              <w:left w:val="nil"/>
              <w:bottom w:val="single" w:sz="4" w:space="0" w:color="auto"/>
              <w:right w:val="single" w:sz="4" w:space="0" w:color="auto"/>
            </w:tcBorders>
            <w:shd w:val="clear" w:color="000000" w:fill="C4BD97"/>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72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81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14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r>
      <w:tr w:rsidR="0042169D" w:rsidRPr="00FF17EC" w:rsidTr="0042169D">
        <w:trPr>
          <w:trHeight w:val="283"/>
        </w:trPr>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Resita</w:t>
            </w:r>
          </w:p>
        </w:tc>
        <w:tc>
          <w:tcPr>
            <w:tcW w:w="1080" w:type="dxa"/>
            <w:tcBorders>
              <w:top w:val="nil"/>
              <w:left w:val="nil"/>
              <w:bottom w:val="single" w:sz="4" w:space="0" w:color="auto"/>
              <w:right w:val="single" w:sz="4" w:space="0" w:color="auto"/>
            </w:tcBorders>
            <w:shd w:val="clear" w:color="000000" w:fill="E6B8B7"/>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2.05</w:t>
            </w:r>
          </w:p>
        </w:tc>
        <w:tc>
          <w:tcPr>
            <w:tcW w:w="1080" w:type="dxa"/>
            <w:tcBorders>
              <w:top w:val="nil"/>
              <w:left w:val="nil"/>
              <w:bottom w:val="single" w:sz="4" w:space="0" w:color="auto"/>
              <w:right w:val="single" w:sz="4" w:space="0" w:color="auto"/>
            </w:tcBorders>
            <w:shd w:val="clear" w:color="000000" w:fill="E6B8B7"/>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2.44</w:t>
            </w:r>
          </w:p>
        </w:tc>
        <w:tc>
          <w:tcPr>
            <w:tcW w:w="720" w:type="dxa"/>
            <w:tcBorders>
              <w:top w:val="nil"/>
              <w:left w:val="nil"/>
              <w:bottom w:val="single" w:sz="4" w:space="0" w:color="auto"/>
              <w:right w:val="single" w:sz="4" w:space="0" w:color="auto"/>
            </w:tcBorders>
            <w:shd w:val="clear" w:color="000000" w:fill="C4BD97"/>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81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14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r>
      <w:tr w:rsidR="00767D02" w:rsidRPr="00FF17EC" w:rsidTr="0042169D">
        <w:trPr>
          <w:trHeight w:val="283"/>
        </w:trPr>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Kikinda</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1.31</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5.47</w:t>
            </w:r>
          </w:p>
        </w:tc>
        <w:tc>
          <w:tcPr>
            <w:tcW w:w="72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3.22</w:t>
            </w:r>
          </w:p>
        </w:tc>
        <w:tc>
          <w:tcPr>
            <w:tcW w:w="810" w:type="dxa"/>
            <w:tcBorders>
              <w:top w:val="nil"/>
              <w:left w:val="nil"/>
              <w:bottom w:val="single" w:sz="4" w:space="0" w:color="auto"/>
              <w:right w:val="single" w:sz="4" w:space="0" w:color="auto"/>
            </w:tcBorders>
            <w:shd w:val="clear" w:color="000000" w:fill="C4BD97"/>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14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r>
      <w:tr w:rsidR="00767D02" w:rsidRPr="00FF17EC" w:rsidTr="0042169D">
        <w:trPr>
          <w:trHeight w:val="283"/>
        </w:trPr>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Zrenjanin</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1.55</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5.17</w:t>
            </w:r>
          </w:p>
        </w:tc>
        <w:tc>
          <w:tcPr>
            <w:tcW w:w="72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3.4</w:t>
            </w:r>
          </w:p>
        </w:tc>
        <w:tc>
          <w:tcPr>
            <w:tcW w:w="81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000000" w:fill="C4BD97"/>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5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14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r>
      <w:tr w:rsidR="00767D02" w:rsidRPr="00FF17EC" w:rsidTr="0042169D">
        <w:trPr>
          <w:trHeight w:val="283"/>
        </w:trPr>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Pancevo</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2.2</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4.4</w:t>
            </w:r>
          </w:p>
        </w:tc>
        <w:tc>
          <w:tcPr>
            <w:tcW w:w="72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w:t>
            </w:r>
          </w:p>
        </w:tc>
        <w:tc>
          <w:tcPr>
            <w:tcW w:w="81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2.4</w:t>
            </w:r>
          </w:p>
        </w:tc>
        <w:tc>
          <w:tcPr>
            <w:tcW w:w="105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1</w:t>
            </w:r>
          </w:p>
        </w:tc>
        <w:tc>
          <w:tcPr>
            <w:tcW w:w="1050" w:type="dxa"/>
            <w:tcBorders>
              <w:top w:val="nil"/>
              <w:left w:val="nil"/>
              <w:bottom w:val="single" w:sz="4" w:space="0" w:color="auto"/>
              <w:right w:val="single" w:sz="4" w:space="0" w:color="auto"/>
            </w:tcBorders>
            <w:shd w:val="clear" w:color="000000" w:fill="C4BD97"/>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140" w:type="dxa"/>
            <w:tcBorders>
              <w:top w:val="nil"/>
              <w:left w:val="nil"/>
              <w:bottom w:val="nil"/>
              <w:right w:val="nil"/>
            </w:tcBorders>
            <w:shd w:val="clear" w:color="auto" w:fill="auto"/>
            <w:noWrap/>
            <w:vAlign w:val="bottom"/>
            <w:hideMark/>
          </w:tcPr>
          <w:p w:rsidR="00767D02" w:rsidRPr="00FF17EC" w:rsidRDefault="00767D02" w:rsidP="00767D02">
            <w:pPr>
              <w:spacing w:after="0" w:line="240" w:lineRule="auto"/>
              <w:jc w:val="left"/>
              <w:rPr>
                <w:rFonts w:cs="Times New Roman"/>
                <w:bCs/>
                <w:color w:val="16365C"/>
                <w:lang w:val="en-US"/>
              </w:rPr>
            </w:pP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r>
      <w:tr w:rsidR="00767D02" w:rsidRPr="00FF17EC" w:rsidTr="0042169D">
        <w:trPr>
          <w:trHeight w:val="283"/>
        </w:trPr>
        <w:tc>
          <w:tcPr>
            <w:tcW w:w="1350" w:type="dxa"/>
            <w:tcBorders>
              <w:top w:val="nil"/>
              <w:left w:val="single" w:sz="4" w:space="0" w:color="auto"/>
              <w:bottom w:val="single" w:sz="4" w:space="0" w:color="auto"/>
              <w:right w:val="single" w:sz="4" w:space="0" w:color="auto"/>
            </w:tcBorders>
            <w:shd w:val="clear" w:color="000000" w:fill="FFFFFF"/>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Smederevo</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3.14</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3.34</w:t>
            </w:r>
          </w:p>
        </w:tc>
        <w:tc>
          <w:tcPr>
            <w:tcW w:w="72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3.2</w:t>
            </w:r>
          </w:p>
        </w:tc>
        <w:tc>
          <w:tcPr>
            <w:tcW w:w="81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3.1</w:t>
            </w:r>
          </w:p>
        </w:tc>
        <w:tc>
          <w:tcPr>
            <w:tcW w:w="105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2.17</w:t>
            </w:r>
          </w:p>
        </w:tc>
        <w:tc>
          <w:tcPr>
            <w:tcW w:w="105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0.57</w:t>
            </w:r>
          </w:p>
        </w:tc>
        <w:tc>
          <w:tcPr>
            <w:tcW w:w="1140" w:type="dxa"/>
            <w:tcBorders>
              <w:top w:val="single" w:sz="4" w:space="0" w:color="auto"/>
              <w:left w:val="nil"/>
              <w:bottom w:val="single" w:sz="4" w:space="0" w:color="auto"/>
              <w:right w:val="single" w:sz="4" w:space="0" w:color="auto"/>
            </w:tcBorders>
            <w:shd w:val="clear" w:color="000000" w:fill="C4BD97"/>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c>
          <w:tcPr>
            <w:tcW w:w="1080" w:type="dxa"/>
            <w:tcBorders>
              <w:top w:val="nil"/>
              <w:left w:val="nil"/>
              <w:bottom w:val="single" w:sz="4" w:space="0" w:color="auto"/>
              <w:right w:val="single" w:sz="4" w:space="0" w:color="auto"/>
            </w:tcBorders>
            <w:shd w:val="clear" w:color="000000" w:fill="FFFFFF"/>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r>
      <w:tr w:rsidR="00767D02" w:rsidRPr="00FF17EC" w:rsidTr="0042169D">
        <w:trPr>
          <w:trHeight w:val="283"/>
        </w:trPr>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Pozarevac</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3.43</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2.52</w:t>
            </w:r>
          </w:p>
        </w:tc>
        <w:tc>
          <w:tcPr>
            <w:tcW w:w="72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4.01</w:t>
            </w:r>
          </w:p>
        </w:tc>
        <w:tc>
          <w:tcPr>
            <w:tcW w:w="81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3.15</w:t>
            </w:r>
          </w:p>
        </w:tc>
        <w:tc>
          <w:tcPr>
            <w:tcW w:w="105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2.52</w:t>
            </w:r>
          </w:p>
        </w:tc>
        <w:tc>
          <w:tcPr>
            <w:tcW w:w="105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1.37</w:t>
            </w:r>
          </w:p>
        </w:tc>
        <w:tc>
          <w:tcPr>
            <w:tcW w:w="114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0.47</w:t>
            </w:r>
          </w:p>
        </w:tc>
        <w:tc>
          <w:tcPr>
            <w:tcW w:w="1080" w:type="dxa"/>
            <w:tcBorders>
              <w:top w:val="nil"/>
              <w:left w:val="nil"/>
              <w:bottom w:val="single" w:sz="4" w:space="0" w:color="auto"/>
              <w:right w:val="single" w:sz="4" w:space="0" w:color="auto"/>
            </w:tcBorders>
            <w:shd w:val="clear" w:color="000000" w:fill="C4BD97"/>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 </w:t>
            </w:r>
          </w:p>
        </w:tc>
      </w:tr>
      <w:tr w:rsidR="00767D02" w:rsidRPr="00FF17EC" w:rsidTr="0042169D">
        <w:trPr>
          <w:trHeight w:val="283"/>
        </w:trPr>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67D02" w:rsidRPr="00FF17EC" w:rsidRDefault="00767D02" w:rsidP="00767D02">
            <w:pPr>
              <w:spacing w:after="0" w:line="240" w:lineRule="auto"/>
              <w:jc w:val="left"/>
              <w:rPr>
                <w:rFonts w:cs="Calibri"/>
                <w:bCs/>
                <w:lang w:val="en-US"/>
              </w:rPr>
            </w:pPr>
            <w:r w:rsidRPr="00FF17EC">
              <w:rPr>
                <w:rFonts w:cs="Calibri"/>
                <w:bCs/>
                <w:lang w:val="en-US"/>
              </w:rPr>
              <w:t>Bor</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5.44</w:t>
            </w:r>
          </w:p>
        </w:tc>
        <w:tc>
          <w:tcPr>
            <w:tcW w:w="108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2.3</w:t>
            </w:r>
          </w:p>
        </w:tc>
        <w:tc>
          <w:tcPr>
            <w:tcW w:w="720" w:type="dxa"/>
            <w:tcBorders>
              <w:top w:val="nil"/>
              <w:left w:val="nil"/>
              <w:bottom w:val="single" w:sz="4" w:space="0" w:color="auto"/>
              <w:right w:val="single" w:sz="4" w:space="0" w:color="auto"/>
            </w:tcBorders>
            <w:shd w:val="clear" w:color="000000" w:fill="B7DEE8"/>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4.32</w:t>
            </w:r>
          </w:p>
        </w:tc>
        <w:tc>
          <w:tcPr>
            <w:tcW w:w="81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5.1</w:t>
            </w:r>
          </w:p>
        </w:tc>
        <w:tc>
          <w:tcPr>
            <w:tcW w:w="105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4.29</w:t>
            </w:r>
          </w:p>
        </w:tc>
        <w:tc>
          <w:tcPr>
            <w:tcW w:w="105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3.31</w:t>
            </w:r>
          </w:p>
        </w:tc>
        <w:tc>
          <w:tcPr>
            <w:tcW w:w="114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2.37</w:t>
            </w:r>
          </w:p>
        </w:tc>
        <w:tc>
          <w:tcPr>
            <w:tcW w:w="1080" w:type="dxa"/>
            <w:tcBorders>
              <w:top w:val="nil"/>
              <w:left w:val="nil"/>
              <w:bottom w:val="single" w:sz="4" w:space="0" w:color="auto"/>
              <w:right w:val="single" w:sz="4" w:space="0" w:color="auto"/>
            </w:tcBorders>
            <w:shd w:val="clear" w:color="000000" w:fill="FCD5B4"/>
            <w:noWrap/>
            <w:vAlign w:val="bottom"/>
            <w:hideMark/>
          </w:tcPr>
          <w:p w:rsidR="00767D02" w:rsidRPr="00FF17EC" w:rsidRDefault="00767D02" w:rsidP="00767D02">
            <w:pPr>
              <w:spacing w:after="0" w:line="240" w:lineRule="auto"/>
              <w:jc w:val="right"/>
              <w:rPr>
                <w:rFonts w:cs="Calibri"/>
                <w:bCs/>
                <w:lang w:val="en-US"/>
              </w:rPr>
            </w:pPr>
            <w:r w:rsidRPr="00FF17EC">
              <w:rPr>
                <w:rFonts w:cs="Calibri"/>
                <w:bCs/>
                <w:lang w:val="en-US"/>
              </w:rPr>
              <w:t>2.47</w:t>
            </w:r>
          </w:p>
        </w:tc>
      </w:tr>
    </w:tbl>
    <w:p w:rsidR="00EF56CA" w:rsidRPr="00FF17EC" w:rsidRDefault="00EF56CA" w:rsidP="00EF56CA">
      <w:r w:rsidRPr="00FF17EC">
        <w:t xml:space="preserve">Source: </w:t>
      </w:r>
      <w:hyperlink r:id="rId41" w:history="1">
        <w:r w:rsidRPr="00FF17EC">
          <w:rPr>
            <w:rStyle w:val="Hyperlink"/>
            <w:rFonts w:cs="Trebuchet MS"/>
            <w:sz w:val="20"/>
          </w:rPr>
          <w:t>http://www.rome2rio.com/</w:t>
        </w:r>
      </w:hyperlink>
      <w:r w:rsidRPr="00FF17EC">
        <w:t xml:space="preserve"> last accessed on 15</w:t>
      </w:r>
      <w:r w:rsidRPr="00FF17EC">
        <w:rPr>
          <w:vertAlign w:val="superscript"/>
        </w:rPr>
        <w:t>th</w:t>
      </w:r>
      <w:r w:rsidRPr="00FF17EC">
        <w:t xml:space="preserve"> December 2013</w:t>
      </w:r>
    </w:p>
    <w:p w:rsidR="00EF56CA" w:rsidRPr="00FF17EC" w:rsidRDefault="00EF56CA" w:rsidP="00EF56CA">
      <w:pPr>
        <w:pStyle w:val="Caption"/>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7</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5</w:t>
      </w:r>
      <w:r w:rsidR="00085686" w:rsidRPr="00FF17EC">
        <w:rPr>
          <w:noProof/>
        </w:rPr>
        <w:fldChar w:fldCharType="end"/>
      </w:r>
      <w:r w:rsidR="00393059" w:rsidRPr="00FF17EC">
        <w:t xml:space="preserve"> </w:t>
      </w:r>
      <w:r w:rsidRPr="00FF17EC">
        <w:rPr>
          <w:lang w:eastAsia="it-IT"/>
        </w:rPr>
        <w:t>Driving time distances among main towns in the Programme area (hours).</w:t>
      </w:r>
    </w:p>
    <w:p w:rsidR="00EF56CA" w:rsidRPr="00FF17EC" w:rsidRDefault="00EF56CA" w:rsidP="00EF56CA"/>
    <w:p w:rsidR="00EF56CA" w:rsidRPr="00FF17EC" w:rsidRDefault="00EF56CA" w:rsidP="00EF56CA">
      <w:pPr>
        <w:pStyle w:val="Heading2"/>
      </w:pPr>
      <w:bookmarkStart w:id="78" w:name="_Toc378857147"/>
      <w:bookmarkStart w:id="79" w:name="_Toc383354413"/>
      <w:bookmarkStart w:id="80" w:name="_Toc383415717"/>
      <w:r w:rsidRPr="00FF17EC">
        <w:t>E-Society and digital divide</w:t>
      </w:r>
      <w:bookmarkEnd w:id="78"/>
      <w:bookmarkEnd w:id="79"/>
      <w:bookmarkEnd w:id="80"/>
    </w:p>
    <w:p w:rsidR="00EF56CA" w:rsidRPr="00FF17EC" w:rsidRDefault="00EF56CA" w:rsidP="00EF56CA">
      <w:r w:rsidRPr="00FF17EC">
        <w:t>The Access to broadband connections is quite similar at National level in the two countries, close to 50%. The differences are much larger inside the eligible areas, where in the Serbian areas the access is below 30% in all regions, while in the Romanian eligible area the average is much closer to the national level. T</w:t>
      </w:r>
    </w:p>
    <w:p w:rsidR="00EF56CA" w:rsidRPr="00FF17EC" w:rsidRDefault="00EF56CA" w:rsidP="00EF56CA">
      <w:r w:rsidRPr="00FF17EC">
        <w:t xml:space="preserve"> The digital divide follows the dualism between urban and rural areas. In Serbia the share of households in rural and urban areas accessing to internet through broadband connection is estimated</w:t>
      </w:r>
      <w:r w:rsidR="00634723" w:rsidRPr="00FF17EC">
        <w:t xml:space="preserve"> </w:t>
      </w:r>
      <w:r w:rsidRPr="00FF17EC">
        <w:t>16.4% versus 41.2%</w:t>
      </w:r>
      <w:r w:rsidRPr="00FF17EC">
        <w:rPr>
          <w:rStyle w:val="FootnoteReference"/>
        </w:rPr>
        <w:footnoteReference w:id="33"/>
      </w:r>
      <w:r w:rsidRPr="00FF17EC">
        <w:t xml:space="preserve">. In the same year 2011 according to the Romanian Authority for </w:t>
      </w:r>
      <w:r w:rsidRPr="00FF17EC">
        <w:lastRenderedPageBreak/>
        <w:t xml:space="preserve">Management and Regulation in Communications (ANCOM), in the rural areas of Romania the rate of access to broadband connections was approximately 22%. </w:t>
      </w:r>
    </w:p>
    <w:tbl>
      <w:tblPr>
        <w:tblW w:w="4921" w:type="dxa"/>
        <w:jc w:val="center"/>
        <w:tblCellMar>
          <w:left w:w="70" w:type="dxa"/>
          <w:right w:w="70" w:type="dxa"/>
        </w:tblCellMar>
        <w:tblLook w:val="04A0" w:firstRow="1" w:lastRow="0" w:firstColumn="1" w:lastColumn="0" w:noHBand="0" w:noVBand="1"/>
      </w:tblPr>
      <w:tblGrid>
        <w:gridCol w:w="2198"/>
        <w:gridCol w:w="1740"/>
        <w:gridCol w:w="983"/>
      </w:tblGrid>
      <w:tr w:rsidR="00EF56CA" w:rsidRPr="00FF17EC" w:rsidTr="006433A2">
        <w:trPr>
          <w:trHeight w:val="645"/>
          <w:jc w:val="center"/>
        </w:trPr>
        <w:tc>
          <w:tcPr>
            <w:tcW w:w="4921" w:type="dxa"/>
            <w:gridSpan w:val="3"/>
            <w:tcBorders>
              <w:top w:val="nil"/>
              <w:left w:val="nil"/>
              <w:bottom w:val="single" w:sz="4" w:space="0" w:color="auto"/>
              <w:right w:val="nil"/>
            </w:tcBorders>
            <w:shd w:val="clear" w:color="auto" w:fill="auto"/>
            <w:vAlign w:val="bottom"/>
            <w:hideMark/>
          </w:tcPr>
          <w:p w:rsidR="00EF56CA" w:rsidRPr="00FF17EC" w:rsidRDefault="00EF56CA" w:rsidP="006433A2">
            <w:pPr>
              <w:keepNext/>
              <w:spacing w:after="0" w:line="240" w:lineRule="auto"/>
              <w:jc w:val="left"/>
              <w:rPr>
                <w:rFonts w:cs="Times New Roman"/>
                <w:b/>
                <w:bCs/>
                <w:lang w:val="en-US" w:eastAsia="it-IT"/>
              </w:rPr>
            </w:pPr>
            <w:r w:rsidRPr="00FF17EC">
              <w:rPr>
                <w:rFonts w:cs="Times New Roman"/>
                <w:b/>
                <w:bCs/>
                <w:lang w:val="en-US" w:eastAsia="it-IT"/>
              </w:rPr>
              <w:t>Broad Band connection: % households 2011 (NIS and Eurostat)</w:t>
            </w:r>
          </w:p>
        </w:tc>
      </w:tr>
      <w:tr w:rsidR="00EF56CA" w:rsidRPr="00FF17EC" w:rsidTr="006433A2">
        <w:trPr>
          <w:trHeight w:val="300"/>
          <w:jc w:val="center"/>
        </w:trPr>
        <w:tc>
          <w:tcPr>
            <w:tcW w:w="2198" w:type="dxa"/>
            <w:tcBorders>
              <w:top w:val="nil"/>
              <w:left w:val="nil"/>
              <w:bottom w:val="nil"/>
              <w:right w:val="nil"/>
            </w:tcBorders>
            <w:shd w:val="clear" w:color="auto" w:fill="auto"/>
            <w:noWrap/>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West Region</w:t>
            </w:r>
          </w:p>
        </w:tc>
        <w:tc>
          <w:tcPr>
            <w:tcW w:w="1740"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Timiş</w:t>
            </w:r>
          </w:p>
        </w:tc>
        <w:tc>
          <w:tcPr>
            <w:tcW w:w="98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53</w:t>
            </w:r>
          </w:p>
        </w:tc>
      </w:tr>
      <w:tr w:rsidR="00EF56CA" w:rsidRPr="00FF17EC" w:rsidTr="006433A2">
        <w:trPr>
          <w:trHeight w:val="300"/>
          <w:jc w:val="center"/>
        </w:trPr>
        <w:tc>
          <w:tcPr>
            <w:tcW w:w="2198"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 xml:space="preserve">South West </w:t>
            </w:r>
          </w:p>
        </w:tc>
        <w:tc>
          <w:tcPr>
            <w:tcW w:w="1740"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Caraş-Severin</w:t>
            </w:r>
          </w:p>
        </w:tc>
        <w:tc>
          <w:tcPr>
            <w:tcW w:w="98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48</w:t>
            </w:r>
          </w:p>
        </w:tc>
      </w:tr>
      <w:tr w:rsidR="00EF56CA" w:rsidRPr="00FF17EC" w:rsidTr="006433A2">
        <w:trPr>
          <w:trHeight w:val="300"/>
          <w:jc w:val="center"/>
        </w:trPr>
        <w:tc>
          <w:tcPr>
            <w:tcW w:w="2198"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p>
        </w:tc>
        <w:tc>
          <w:tcPr>
            <w:tcW w:w="1740"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Mehedinţi</w:t>
            </w:r>
          </w:p>
        </w:tc>
        <w:tc>
          <w:tcPr>
            <w:tcW w:w="98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b/>
                <w:bCs/>
                <w:lang w:val="it-IT" w:eastAsia="it-IT"/>
              </w:rPr>
            </w:pPr>
          </w:p>
        </w:tc>
      </w:tr>
      <w:tr w:rsidR="00EF56CA" w:rsidRPr="00FF17EC" w:rsidTr="006433A2">
        <w:trPr>
          <w:trHeight w:val="300"/>
          <w:jc w:val="center"/>
        </w:trPr>
        <w:tc>
          <w:tcPr>
            <w:tcW w:w="2198"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b/>
                <w:bCs/>
                <w:lang w:val="it-IT" w:eastAsia="it-IT"/>
              </w:rPr>
            </w:pPr>
          </w:p>
        </w:tc>
        <w:tc>
          <w:tcPr>
            <w:tcW w:w="1740"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b/>
                <w:bCs/>
                <w:lang w:val="it-IT" w:eastAsia="it-IT"/>
              </w:rPr>
            </w:pPr>
            <w:r w:rsidRPr="00FF17EC">
              <w:rPr>
                <w:rFonts w:cs="Times New Roman"/>
                <w:b/>
                <w:bCs/>
                <w:lang w:val="it-IT" w:eastAsia="it-IT"/>
              </w:rPr>
              <w:t>ROMANIA</w:t>
            </w:r>
          </w:p>
        </w:tc>
        <w:tc>
          <w:tcPr>
            <w:tcW w:w="983" w:type="dxa"/>
            <w:tcBorders>
              <w:top w:val="nil"/>
              <w:left w:val="nil"/>
              <w:bottom w:val="nil"/>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b/>
                <w:bCs/>
                <w:lang w:val="it-IT" w:eastAsia="it-IT"/>
              </w:rPr>
            </w:pPr>
            <w:r w:rsidRPr="00FF17EC">
              <w:rPr>
                <w:rFonts w:cs="Times New Roman"/>
                <w:b/>
                <w:bCs/>
                <w:lang w:val="it-IT" w:eastAsia="it-IT"/>
              </w:rPr>
              <w:t>50</w:t>
            </w:r>
          </w:p>
        </w:tc>
      </w:tr>
      <w:tr w:rsidR="00EF56CA" w:rsidRPr="00FF17EC" w:rsidTr="006433A2">
        <w:trPr>
          <w:trHeight w:val="300"/>
          <w:jc w:val="center"/>
        </w:trPr>
        <w:tc>
          <w:tcPr>
            <w:tcW w:w="2198"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Voivodina</w:t>
            </w:r>
          </w:p>
        </w:tc>
        <w:tc>
          <w:tcPr>
            <w:tcW w:w="1740"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Severno-Banatski</w:t>
            </w:r>
          </w:p>
        </w:tc>
        <w:tc>
          <w:tcPr>
            <w:tcW w:w="983" w:type="dxa"/>
            <w:tcBorders>
              <w:top w:val="nil"/>
              <w:left w:val="nil"/>
              <w:bottom w:val="nil"/>
              <w:right w:val="nil"/>
            </w:tcBorders>
            <w:shd w:val="clear" w:color="auto" w:fill="auto"/>
            <w:noWrap/>
            <w:vAlign w:val="center"/>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28,8</w:t>
            </w:r>
          </w:p>
        </w:tc>
      </w:tr>
      <w:tr w:rsidR="00EF56CA" w:rsidRPr="00FF17EC" w:rsidTr="006433A2">
        <w:trPr>
          <w:trHeight w:val="300"/>
          <w:jc w:val="center"/>
        </w:trPr>
        <w:tc>
          <w:tcPr>
            <w:tcW w:w="2198"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p>
        </w:tc>
        <w:tc>
          <w:tcPr>
            <w:tcW w:w="1740"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Srednje-Banatski</w:t>
            </w:r>
          </w:p>
        </w:tc>
        <w:tc>
          <w:tcPr>
            <w:tcW w:w="983" w:type="dxa"/>
            <w:tcBorders>
              <w:top w:val="nil"/>
              <w:left w:val="nil"/>
              <w:bottom w:val="nil"/>
              <w:right w:val="nil"/>
            </w:tcBorders>
            <w:shd w:val="clear" w:color="auto" w:fill="auto"/>
            <w:noWrap/>
            <w:vAlign w:val="center"/>
            <w:hideMark/>
          </w:tcPr>
          <w:p w:rsidR="00EF56CA" w:rsidRPr="00FF17EC" w:rsidRDefault="00EF56CA" w:rsidP="006433A2">
            <w:pPr>
              <w:keepNext/>
              <w:spacing w:after="0" w:line="240" w:lineRule="auto"/>
              <w:jc w:val="left"/>
              <w:rPr>
                <w:rFonts w:cs="Times New Roman"/>
                <w:lang w:val="it-IT" w:eastAsia="it-IT"/>
              </w:rPr>
            </w:pPr>
          </w:p>
        </w:tc>
      </w:tr>
      <w:tr w:rsidR="00EF56CA" w:rsidRPr="00FF17EC" w:rsidTr="006433A2">
        <w:trPr>
          <w:trHeight w:val="300"/>
          <w:jc w:val="center"/>
        </w:trPr>
        <w:tc>
          <w:tcPr>
            <w:tcW w:w="2198"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p>
        </w:tc>
        <w:tc>
          <w:tcPr>
            <w:tcW w:w="1740"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Južno-Banatski</w:t>
            </w:r>
          </w:p>
        </w:tc>
        <w:tc>
          <w:tcPr>
            <w:tcW w:w="983" w:type="dxa"/>
            <w:tcBorders>
              <w:top w:val="nil"/>
              <w:left w:val="nil"/>
              <w:bottom w:val="nil"/>
              <w:right w:val="nil"/>
            </w:tcBorders>
            <w:shd w:val="clear" w:color="auto" w:fill="auto"/>
            <w:noWrap/>
            <w:vAlign w:val="center"/>
            <w:hideMark/>
          </w:tcPr>
          <w:p w:rsidR="00EF56CA" w:rsidRPr="00FF17EC" w:rsidRDefault="00EF56CA" w:rsidP="006433A2">
            <w:pPr>
              <w:keepNext/>
              <w:spacing w:after="0" w:line="240" w:lineRule="auto"/>
              <w:jc w:val="left"/>
              <w:rPr>
                <w:rFonts w:cs="Times New Roman"/>
                <w:lang w:val="it-IT" w:eastAsia="it-IT"/>
              </w:rPr>
            </w:pPr>
          </w:p>
        </w:tc>
      </w:tr>
      <w:tr w:rsidR="00EF56CA" w:rsidRPr="00FF17EC" w:rsidTr="006433A2">
        <w:trPr>
          <w:trHeight w:val="300"/>
          <w:jc w:val="center"/>
        </w:trPr>
        <w:tc>
          <w:tcPr>
            <w:tcW w:w="2198" w:type="dxa"/>
            <w:tcBorders>
              <w:top w:val="nil"/>
              <w:left w:val="nil"/>
              <w:bottom w:val="nil"/>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Central Serbia</w:t>
            </w:r>
          </w:p>
        </w:tc>
        <w:tc>
          <w:tcPr>
            <w:tcW w:w="1740" w:type="dxa"/>
            <w:tcBorders>
              <w:top w:val="nil"/>
              <w:left w:val="nil"/>
              <w:bottom w:val="nil"/>
              <w:right w:val="nil"/>
            </w:tcBorders>
            <w:shd w:val="clear" w:color="auto" w:fill="auto"/>
            <w:hideMark/>
          </w:tcPr>
          <w:p w:rsidR="00B55E49" w:rsidRPr="00FF17EC" w:rsidRDefault="00B55E49" w:rsidP="006433A2">
            <w:pPr>
              <w:keepNext/>
              <w:spacing w:after="0" w:line="240" w:lineRule="auto"/>
              <w:jc w:val="right"/>
              <w:rPr>
                <w:rFonts w:cs="Times New Roman"/>
                <w:lang w:val="it-IT" w:eastAsia="it-IT"/>
              </w:rPr>
            </w:pPr>
            <w:r w:rsidRPr="00FF17EC">
              <w:rPr>
                <w:rFonts w:cs="Times New Roman"/>
                <w:lang w:val="it-IT" w:eastAsia="it-IT"/>
              </w:rPr>
              <w:t>Podunavski</w:t>
            </w:r>
          </w:p>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Braničevski Borski</w:t>
            </w:r>
          </w:p>
        </w:tc>
        <w:tc>
          <w:tcPr>
            <w:tcW w:w="983" w:type="dxa"/>
            <w:tcBorders>
              <w:top w:val="nil"/>
              <w:left w:val="nil"/>
              <w:bottom w:val="nil"/>
              <w:right w:val="nil"/>
            </w:tcBorders>
            <w:shd w:val="clear" w:color="auto" w:fill="auto"/>
            <w:noWrap/>
            <w:vAlign w:val="center"/>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26,5</w:t>
            </w:r>
          </w:p>
        </w:tc>
      </w:tr>
      <w:tr w:rsidR="00EF56CA" w:rsidRPr="00FF17EC" w:rsidTr="006433A2">
        <w:trPr>
          <w:trHeight w:val="300"/>
          <w:jc w:val="center"/>
        </w:trPr>
        <w:tc>
          <w:tcPr>
            <w:tcW w:w="2198" w:type="dxa"/>
            <w:tcBorders>
              <w:top w:val="nil"/>
              <w:left w:val="nil"/>
              <w:bottom w:val="single" w:sz="4" w:space="0" w:color="auto"/>
              <w:right w:val="nil"/>
            </w:tcBorders>
            <w:shd w:val="clear" w:color="auto" w:fill="auto"/>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 </w:t>
            </w:r>
          </w:p>
        </w:tc>
        <w:tc>
          <w:tcPr>
            <w:tcW w:w="1740" w:type="dxa"/>
            <w:tcBorders>
              <w:top w:val="nil"/>
              <w:left w:val="nil"/>
              <w:bottom w:val="single" w:sz="4" w:space="0" w:color="auto"/>
              <w:right w:val="nil"/>
            </w:tcBorders>
            <w:shd w:val="clear" w:color="auto" w:fill="auto"/>
            <w:hideMark/>
          </w:tcPr>
          <w:p w:rsidR="00EF56CA" w:rsidRPr="00FF17EC" w:rsidRDefault="00EF56CA" w:rsidP="006433A2">
            <w:pPr>
              <w:keepNext/>
              <w:spacing w:after="0" w:line="240" w:lineRule="auto"/>
              <w:jc w:val="right"/>
              <w:rPr>
                <w:rFonts w:cs="Times New Roman"/>
                <w:b/>
                <w:bCs/>
                <w:lang w:val="it-IT" w:eastAsia="it-IT"/>
              </w:rPr>
            </w:pPr>
            <w:r w:rsidRPr="00FF17EC">
              <w:rPr>
                <w:rFonts w:cs="Times New Roman"/>
                <w:b/>
                <w:bCs/>
                <w:lang w:val="it-IT" w:eastAsia="it-IT"/>
              </w:rPr>
              <w:t>SERBIA</w:t>
            </w:r>
          </w:p>
        </w:tc>
        <w:tc>
          <w:tcPr>
            <w:tcW w:w="983" w:type="dxa"/>
            <w:tcBorders>
              <w:top w:val="nil"/>
              <w:left w:val="nil"/>
              <w:bottom w:val="single" w:sz="4" w:space="0" w:color="auto"/>
              <w:right w:val="nil"/>
            </w:tcBorders>
            <w:shd w:val="clear" w:color="auto" w:fill="auto"/>
            <w:noWrap/>
            <w:vAlign w:val="bottom"/>
            <w:hideMark/>
          </w:tcPr>
          <w:p w:rsidR="00EF56CA" w:rsidRPr="00FF17EC" w:rsidRDefault="00EF56CA" w:rsidP="006433A2">
            <w:pPr>
              <w:keepNext/>
              <w:spacing w:after="0" w:line="240" w:lineRule="auto"/>
              <w:jc w:val="right"/>
              <w:rPr>
                <w:rFonts w:cs="Times New Roman"/>
                <w:lang w:val="it-IT" w:eastAsia="it-IT"/>
              </w:rPr>
            </w:pPr>
            <w:r w:rsidRPr="00FF17EC">
              <w:rPr>
                <w:rFonts w:cs="Times New Roman"/>
                <w:lang w:val="it-IT" w:eastAsia="it-IT"/>
              </w:rPr>
              <w:t>51</w:t>
            </w:r>
          </w:p>
        </w:tc>
      </w:tr>
    </w:tbl>
    <w:p w:rsidR="00EF56CA" w:rsidRPr="00FF17EC" w:rsidRDefault="00EF56CA" w:rsidP="00EF56CA">
      <w:pPr>
        <w:pStyle w:val="Caption"/>
        <w:jc w:val="center"/>
        <w:rPr>
          <w:sz w:val="22"/>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7</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6</w:t>
      </w:r>
      <w:r w:rsidR="00085686" w:rsidRPr="00FF17EC">
        <w:rPr>
          <w:sz w:val="22"/>
        </w:rPr>
        <w:fldChar w:fldCharType="end"/>
      </w:r>
      <w:r w:rsidRPr="00FF17EC">
        <w:rPr>
          <w:sz w:val="22"/>
        </w:rPr>
        <w:t xml:space="preserve"> E-society Indicator: broadband access </w:t>
      </w:r>
    </w:p>
    <w:p w:rsidR="00EF56CA" w:rsidRPr="00FF17EC" w:rsidRDefault="00EF56CA" w:rsidP="00EF56CA"/>
    <w:p w:rsidR="00EF56CA" w:rsidRPr="00FF17EC" w:rsidRDefault="00EF56CA" w:rsidP="00EF56CA">
      <w:r w:rsidRPr="00FF17EC">
        <w:t>Considering all technologies of connection, according to the available estimations at national level 55%</w:t>
      </w:r>
      <w:r w:rsidRPr="00FF17EC">
        <w:rPr>
          <w:rStyle w:val="FootnoteReference"/>
        </w:rPr>
        <w:footnoteReference w:id="34"/>
      </w:r>
      <w:r w:rsidRPr="00FF17EC">
        <w:t xml:space="preserve"> of Serbian families and 55% of Romanian Families have access to Internet</w:t>
      </w:r>
      <w:r w:rsidRPr="00FF17EC">
        <w:rPr>
          <w:rStyle w:val="FootnoteReference"/>
        </w:rPr>
        <w:footnoteReference w:id="35"/>
      </w:r>
      <w:r w:rsidRPr="00FF17EC">
        <w:t xml:space="preserve">. </w:t>
      </w:r>
    </w:p>
    <w:p w:rsidR="00EF56CA" w:rsidRPr="00FF17EC" w:rsidRDefault="00EF56CA" w:rsidP="00EF56CA">
      <w:r w:rsidRPr="00FF17EC">
        <w:t>The use of internet describes a much weaker situation in terms of access to services and E-society development. According to Eurostat data, only 10% of Romanians made shopping through internet services in 2012</w:t>
      </w:r>
      <w:r w:rsidRPr="00FF17EC">
        <w:rPr>
          <w:rStyle w:val="FootnoteReference"/>
        </w:rPr>
        <w:footnoteReference w:id="36"/>
      </w:r>
      <w:r w:rsidRPr="00FF17EC">
        <w:t>, and just 5% in Serbia.</w:t>
      </w:r>
    </w:p>
    <w:p w:rsidR="00EF56CA" w:rsidRPr="00FF17EC" w:rsidRDefault="00EF56CA" w:rsidP="00EF56CA">
      <w:r w:rsidRPr="00FF17EC">
        <w:t xml:space="preserve">Regional data are not available, but according to qualitative information available the average access to the net in the eligible area seems close to the national level. </w:t>
      </w:r>
    </w:p>
    <w:p w:rsidR="00EF56CA" w:rsidRPr="00FF17EC" w:rsidRDefault="00EF56CA" w:rsidP="00EF56CA">
      <w:r w:rsidRPr="00FF17EC">
        <w:t>Data on the quality of the access to internet indicate that Timisoara is the best performing in Romania, according to the average connections speed. In Serbia, the same ranking per connection speed scores Kikinda 28</w:t>
      </w:r>
      <w:r w:rsidRPr="00FF17EC">
        <w:rPr>
          <w:vertAlign w:val="superscript"/>
        </w:rPr>
        <w:t>th</w:t>
      </w:r>
      <w:r w:rsidRPr="00FF17EC">
        <w:t>, Bor 44th, among the Serbian towns</w:t>
      </w:r>
      <w:r w:rsidRPr="00FF17EC">
        <w:rPr>
          <w:rStyle w:val="FootnoteReference"/>
        </w:rPr>
        <w:t xml:space="preserve"> </w:t>
      </w:r>
      <w:r w:rsidRPr="00FF17EC">
        <w:rPr>
          <w:rStyle w:val="FootnoteReference"/>
        </w:rPr>
        <w:footnoteReference w:id="37"/>
      </w:r>
    </w:p>
    <w:p w:rsidR="00E53F57" w:rsidRPr="00FF17EC" w:rsidRDefault="00E53F57" w:rsidP="00A62261">
      <w:pPr>
        <w:pStyle w:val="Heading1"/>
      </w:pPr>
      <w:bookmarkStart w:id="81" w:name="_Toc378857148"/>
      <w:bookmarkStart w:id="82" w:name="_Toc383162912"/>
      <w:bookmarkStart w:id="83" w:name="_Toc383367982"/>
      <w:bookmarkStart w:id="84" w:name="_Toc383415718"/>
      <w:r w:rsidRPr="00FF17EC">
        <w:lastRenderedPageBreak/>
        <w:t>Environmental resources and infrastructures</w:t>
      </w:r>
      <w:bookmarkEnd w:id="81"/>
      <w:bookmarkEnd w:id="82"/>
      <w:bookmarkEnd w:id="83"/>
      <w:bookmarkEnd w:id="84"/>
      <w:r w:rsidRPr="00FF17EC">
        <w:t xml:space="preserve"> </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pPr>
      <w:r w:rsidRPr="00FF17EC">
        <w:t>Divide of land use and land cover with agriculture dominating in the Northwest and mountain and forested areas dominating in the southeast, with punctual foci of human activity (e.g. mines)</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pPr>
      <w:r w:rsidRPr="00FF17EC">
        <w:t xml:space="preserve">Rich natural environment and cultural heritage with many small and dispersed attractions which is at pressure either by abandonment in peripheral areas or by overexploitation in the plains; </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pPr>
      <w:r w:rsidRPr="00FF17EC">
        <w:t>Large number of NATURA 2000 and Natural Protected Areas covering a large part of the programme area;</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pPr>
      <w:r w:rsidRPr="00FF17EC">
        <w:t xml:space="preserve">Rivers and water bodies mostly heavily modified and with waek ecological potential burdened by agricultural, industrial and municipal discharges; </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pPr>
      <w:r w:rsidRPr="00FF17EC">
        <w:t>Relative low level of service of water supply and sewage treatment especially in the rural areas and difficulties to overcome this by conventional approaches;</w:t>
      </w:r>
    </w:p>
    <w:p w:rsidR="008C403B"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pPr>
      <w:r w:rsidRPr="00FF17EC">
        <w:t>Environmental Infrastructure, is often obsolete, underperforming and with limited perspective for financing beyond rudimentary operation and maintenance;</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pPr>
      <w:r w:rsidRPr="00FF17EC">
        <w:t>Municipal waste treatment is nascent and is relying in simple landfills or uncontrolled dumps;</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pPr>
      <w:r w:rsidRPr="00FF17EC">
        <w:t>Air pollution in the urban centres as a consequence of traffic and poor industrial emissions standards;</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rPr>
          <w:b/>
        </w:rPr>
      </w:pPr>
      <w:r w:rsidRPr="00FF17EC">
        <w:t xml:space="preserve">Environmental hotspots and risks, especially due to past and present mining and industrial activity, in many cases in remote areas with poor civil protection mechanisms; </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rPr>
          <w:b/>
        </w:rPr>
      </w:pPr>
      <w:r w:rsidRPr="00FF17EC">
        <w:t>Flood risks (fluvial and flash floods) in different parts of the Programme area;</w:t>
      </w:r>
    </w:p>
    <w:p w:rsidR="00E53F57" w:rsidRPr="00FF17EC" w:rsidRDefault="00E53F57" w:rsidP="00E53F57">
      <w:pPr>
        <w:pStyle w:val="ListParagraph"/>
        <w:keepNext/>
        <w:numPr>
          <w:ilvl w:val="0"/>
          <w:numId w:val="12"/>
        </w:numPr>
        <w:pBdr>
          <w:top w:val="single" w:sz="4" w:space="1" w:color="auto"/>
          <w:left w:val="single" w:sz="4" w:space="4" w:color="auto"/>
          <w:bottom w:val="single" w:sz="4" w:space="1" w:color="auto"/>
          <w:right w:val="single" w:sz="4" w:space="4" w:color="auto"/>
        </w:pBdr>
        <w:rPr>
          <w:b/>
        </w:rPr>
      </w:pPr>
      <w:r w:rsidRPr="00FF17EC">
        <w:t>Flood Awareness Systems and disaster protection improving and connecting to European networks but still poor at the local level</w:t>
      </w:r>
    </w:p>
    <w:p w:rsidR="00E53F57" w:rsidRPr="00FF17EC" w:rsidRDefault="00E53F57" w:rsidP="00BB1745">
      <w:bookmarkStart w:id="85" w:name="_Toc383162913"/>
      <w:bookmarkStart w:id="86" w:name="_Toc383367983"/>
    </w:p>
    <w:p w:rsidR="00E53F57" w:rsidRPr="00FF17EC" w:rsidRDefault="00E53F57" w:rsidP="007D1DDB">
      <w:pPr>
        <w:pStyle w:val="Heading2"/>
        <w:keepLines/>
      </w:pPr>
      <w:bookmarkStart w:id="87" w:name="_Toc383415719"/>
      <w:r w:rsidRPr="00FF17EC">
        <w:lastRenderedPageBreak/>
        <w:t>Land uses</w:t>
      </w:r>
      <w:bookmarkEnd w:id="85"/>
      <w:bookmarkEnd w:id="86"/>
      <w:bookmarkEnd w:id="87"/>
    </w:p>
    <w:p w:rsidR="00E53F57" w:rsidRPr="00FF17EC" w:rsidRDefault="00E53F57" w:rsidP="00E53F57">
      <w:pPr>
        <w:rPr>
          <w:lang w:eastAsia="it-IT"/>
        </w:rPr>
      </w:pPr>
      <w:r w:rsidRPr="00FF17EC">
        <w:rPr>
          <w:lang w:eastAsia="it-IT"/>
        </w:rPr>
        <w:t xml:space="preserve">The Programme Area is characterised by a basic division of land uses and land cover from Northwest to the Southeast. In the northwest, agriculture predominates, while in the southeast mountain areas and forests/woods are more common. </w:t>
      </w:r>
    </w:p>
    <w:p w:rsidR="005B4686" w:rsidRPr="00FF17EC" w:rsidRDefault="00B466A7" w:rsidP="00E53F57">
      <w:pPr>
        <w:rPr>
          <w:noProof/>
          <w:lang w:eastAsia="de-AT"/>
        </w:rPr>
      </w:pPr>
      <w:r>
        <w:rPr>
          <w:noProof/>
          <w:lang w:eastAsia="en-GB"/>
        </w:rPr>
        <w:drawing>
          <wp:inline distT="0" distB="0" distL="0" distR="0">
            <wp:extent cx="5971540" cy="4226766"/>
            <wp:effectExtent l="19050" t="0" r="0" b="0"/>
            <wp:docPr id="10" name="Immagine 1" descr="C:\Users\biagio\Desktop\AAA Serbia Romania\AA revision after submission\mappe finali\ProgettoSerbiaRomania_Corine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agio\Desktop\AAA Serbia Romania\AA revision after submission\mappe finali\ProgettoSerbiaRomania_Corine_New.jpg"/>
                    <pic:cNvPicPr>
                      <a:picLocks noChangeAspect="1" noChangeArrowheads="1"/>
                    </pic:cNvPicPr>
                  </pic:nvPicPr>
                  <pic:blipFill>
                    <a:blip r:embed="rId42"/>
                    <a:srcRect/>
                    <a:stretch>
                      <a:fillRect/>
                    </a:stretch>
                  </pic:blipFill>
                  <pic:spPr bwMode="auto">
                    <a:xfrm>
                      <a:off x="0" y="0"/>
                      <a:ext cx="5971540" cy="4226766"/>
                    </a:xfrm>
                    <a:prstGeom prst="rect">
                      <a:avLst/>
                    </a:prstGeom>
                    <a:noFill/>
                    <a:ln w="9525">
                      <a:noFill/>
                      <a:miter lim="800000"/>
                      <a:headEnd/>
                      <a:tailEnd/>
                    </a:ln>
                  </pic:spPr>
                </pic:pic>
              </a:graphicData>
            </a:graphic>
          </wp:inline>
        </w:drawing>
      </w:r>
    </w:p>
    <w:p w:rsidR="00E53F57" w:rsidRPr="00FF17EC" w:rsidRDefault="00E53F57" w:rsidP="00E53F57">
      <w:pPr>
        <w:rPr>
          <w:sz w:val="20"/>
          <w:szCs w:val="20"/>
          <w:lang w:eastAsia="it-IT"/>
        </w:rPr>
      </w:pPr>
      <w:r w:rsidRPr="00FF17EC">
        <w:rPr>
          <w:sz w:val="20"/>
          <w:szCs w:val="20"/>
          <w:lang w:eastAsia="it-IT"/>
        </w:rPr>
        <w:t>Source: EEA (2006), CORINE Land Cover 2000, own illustration</w:t>
      </w:r>
    </w:p>
    <w:p w:rsidR="00393059" w:rsidRPr="00FF17EC" w:rsidRDefault="00B466A7" w:rsidP="00E53F57">
      <w:pPr>
        <w:rPr>
          <w:b/>
          <w:lang w:eastAsia="it-IT"/>
        </w:rPr>
      </w:pPr>
      <w:r w:rsidRPr="00B466A7">
        <w:rPr>
          <w:b/>
        </w:rPr>
        <w:t>Map 8</w:t>
      </w:r>
      <w:r w:rsidRPr="00B466A7">
        <w:rPr>
          <w:b/>
        </w:rPr>
        <w:noBreakHyphen/>
      </w:r>
      <w:r w:rsidR="00085686" w:rsidRPr="00B466A7">
        <w:rPr>
          <w:b/>
        </w:rPr>
        <w:fldChar w:fldCharType="begin"/>
      </w:r>
      <w:r w:rsidRPr="00B466A7">
        <w:rPr>
          <w:b/>
        </w:rPr>
        <w:instrText xml:space="preserve"> SEQ Map \* ARABIC \s 1 </w:instrText>
      </w:r>
      <w:r w:rsidR="00085686" w:rsidRPr="00B466A7">
        <w:rPr>
          <w:b/>
        </w:rPr>
        <w:fldChar w:fldCharType="separate"/>
      </w:r>
      <w:r w:rsidRPr="00B466A7">
        <w:rPr>
          <w:b/>
          <w:noProof/>
        </w:rPr>
        <w:t>1</w:t>
      </w:r>
      <w:r w:rsidR="00085686" w:rsidRPr="00B466A7">
        <w:rPr>
          <w:b/>
        </w:rPr>
        <w:fldChar w:fldCharType="end"/>
      </w:r>
      <w:r w:rsidRPr="00B466A7">
        <w:rPr>
          <w:b/>
          <w:i/>
        </w:rPr>
        <w:t xml:space="preserve"> </w:t>
      </w:r>
      <w:r w:rsidR="00393059" w:rsidRPr="00B466A7">
        <w:rPr>
          <w:b/>
        </w:rPr>
        <w:t>Programme</w:t>
      </w:r>
      <w:r w:rsidR="00393059" w:rsidRPr="00FF17EC">
        <w:rPr>
          <w:b/>
        </w:rPr>
        <w:t xml:space="preserve"> Area Land uses</w:t>
      </w:r>
    </w:p>
    <w:p w:rsidR="00393059" w:rsidRPr="00FF17EC" w:rsidRDefault="00393059" w:rsidP="00E53F57">
      <w:pPr>
        <w:rPr>
          <w:lang w:eastAsia="it-IT"/>
        </w:rPr>
      </w:pPr>
    </w:p>
    <w:p w:rsidR="00E53F57" w:rsidRPr="00FF17EC" w:rsidRDefault="00E53F57" w:rsidP="00E53F57">
      <w:pPr>
        <w:rPr>
          <w:lang w:eastAsia="it-IT"/>
        </w:rPr>
      </w:pPr>
      <w:r w:rsidRPr="00FF17EC">
        <w:rPr>
          <w:lang w:eastAsia="it-IT"/>
        </w:rPr>
        <w:t>Considering the land use structure, the following picture exists:</w:t>
      </w:r>
    </w:p>
    <w:p w:rsidR="00A031AE" w:rsidRPr="00FF17EC" w:rsidRDefault="00A031AE" w:rsidP="00E53F57">
      <w:pPr>
        <w:rPr>
          <w:lang w:eastAsia="it-IT"/>
        </w:rPr>
      </w:pPr>
    </w:p>
    <w:tbl>
      <w:tblPr>
        <w:tblStyle w:val="TableGrid"/>
        <w:tblW w:w="0" w:type="auto"/>
        <w:tblLook w:val="04A0" w:firstRow="1" w:lastRow="0" w:firstColumn="1" w:lastColumn="0" w:noHBand="0" w:noVBand="1"/>
      </w:tblPr>
      <w:tblGrid>
        <w:gridCol w:w="3510"/>
        <w:gridCol w:w="2694"/>
      </w:tblGrid>
      <w:tr w:rsidR="00E53F57" w:rsidRPr="00FF17EC" w:rsidTr="00A031AE">
        <w:tc>
          <w:tcPr>
            <w:tcW w:w="3510" w:type="dxa"/>
          </w:tcPr>
          <w:p w:rsidR="00E53F57" w:rsidRPr="00FF17EC" w:rsidRDefault="00E53F57" w:rsidP="00A031AE">
            <w:pPr>
              <w:keepNext/>
              <w:spacing w:after="0" w:line="240" w:lineRule="auto"/>
              <w:rPr>
                <w:b/>
                <w:lang w:eastAsia="it-IT"/>
              </w:rPr>
            </w:pPr>
            <w:r w:rsidRPr="00FF17EC">
              <w:rPr>
                <w:b/>
                <w:lang w:eastAsia="it-IT"/>
              </w:rPr>
              <w:lastRenderedPageBreak/>
              <w:t>Land use</w:t>
            </w:r>
          </w:p>
        </w:tc>
        <w:tc>
          <w:tcPr>
            <w:tcW w:w="2694" w:type="dxa"/>
          </w:tcPr>
          <w:p w:rsidR="00E53F57" w:rsidRPr="00FF17EC" w:rsidRDefault="00E53F57" w:rsidP="00A031AE">
            <w:pPr>
              <w:keepNext/>
              <w:spacing w:after="0" w:line="240" w:lineRule="auto"/>
              <w:rPr>
                <w:b/>
                <w:lang w:eastAsia="it-IT"/>
              </w:rPr>
            </w:pPr>
            <w:r w:rsidRPr="00FF17EC">
              <w:rPr>
                <w:b/>
                <w:lang w:eastAsia="it-IT"/>
              </w:rPr>
              <w:t>Share</w:t>
            </w:r>
          </w:p>
        </w:tc>
      </w:tr>
      <w:tr w:rsidR="00E53F57" w:rsidRPr="00FF17EC" w:rsidTr="00A031AE">
        <w:tc>
          <w:tcPr>
            <w:tcW w:w="3510" w:type="dxa"/>
          </w:tcPr>
          <w:p w:rsidR="00E53F57" w:rsidRPr="00FF17EC" w:rsidRDefault="00E53F57" w:rsidP="00A031AE">
            <w:pPr>
              <w:keepNext/>
              <w:spacing w:after="0" w:line="240" w:lineRule="auto"/>
            </w:pPr>
            <w:r w:rsidRPr="00FF17EC">
              <w:t>Agriculture</w:t>
            </w:r>
          </w:p>
        </w:tc>
        <w:tc>
          <w:tcPr>
            <w:tcW w:w="2694" w:type="dxa"/>
          </w:tcPr>
          <w:p w:rsidR="00E53F57" w:rsidRPr="00FF17EC" w:rsidRDefault="00E53F57" w:rsidP="00A031AE">
            <w:pPr>
              <w:keepNext/>
              <w:spacing w:after="0" w:line="240" w:lineRule="auto"/>
            </w:pPr>
            <w:r w:rsidRPr="00FF17EC">
              <w:t>52,26%</w:t>
            </w:r>
          </w:p>
        </w:tc>
      </w:tr>
      <w:tr w:rsidR="00E53F57" w:rsidRPr="00FF17EC" w:rsidTr="00A031AE">
        <w:tc>
          <w:tcPr>
            <w:tcW w:w="3510" w:type="dxa"/>
          </w:tcPr>
          <w:p w:rsidR="00E53F57" w:rsidRPr="00FF17EC" w:rsidRDefault="00E53F57" w:rsidP="00A031AE">
            <w:pPr>
              <w:keepNext/>
              <w:spacing w:after="0" w:line="240" w:lineRule="auto"/>
            </w:pPr>
            <w:r w:rsidRPr="00FF17EC">
              <w:t>Forests</w:t>
            </w:r>
          </w:p>
        </w:tc>
        <w:tc>
          <w:tcPr>
            <w:tcW w:w="2694" w:type="dxa"/>
          </w:tcPr>
          <w:p w:rsidR="00E53F57" w:rsidRPr="00FF17EC" w:rsidRDefault="00E53F57" w:rsidP="00A031AE">
            <w:pPr>
              <w:keepNext/>
              <w:spacing w:after="0" w:line="240" w:lineRule="auto"/>
            </w:pPr>
            <w:r w:rsidRPr="00FF17EC">
              <w:t>33,88%</w:t>
            </w:r>
          </w:p>
        </w:tc>
      </w:tr>
      <w:tr w:rsidR="00E53F57" w:rsidRPr="00FF17EC" w:rsidTr="00A031AE">
        <w:tc>
          <w:tcPr>
            <w:tcW w:w="3510" w:type="dxa"/>
          </w:tcPr>
          <w:p w:rsidR="00E53F57" w:rsidRPr="00FF17EC" w:rsidRDefault="00E53F57" w:rsidP="00A031AE">
            <w:pPr>
              <w:keepNext/>
              <w:spacing w:after="0" w:line="240" w:lineRule="auto"/>
            </w:pPr>
            <w:r w:rsidRPr="00FF17EC">
              <w:t>Pastures</w:t>
            </w:r>
          </w:p>
        </w:tc>
        <w:tc>
          <w:tcPr>
            <w:tcW w:w="2694" w:type="dxa"/>
          </w:tcPr>
          <w:p w:rsidR="00E53F57" w:rsidRPr="00FF17EC" w:rsidRDefault="00E53F57" w:rsidP="00A031AE">
            <w:pPr>
              <w:keepNext/>
              <w:spacing w:after="0" w:line="240" w:lineRule="auto"/>
            </w:pPr>
            <w:r w:rsidRPr="00FF17EC">
              <w:t>7,95%</w:t>
            </w:r>
          </w:p>
        </w:tc>
      </w:tr>
      <w:tr w:rsidR="00E53F57" w:rsidRPr="00FF17EC" w:rsidTr="00A031AE">
        <w:tc>
          <w:tcPr>
            <w:tcW w:w="3510" w:type="dxa"/>
          </w:tcPr>
          <w:p w:rsidR="00E53F57" w:rsidRPr="00FF17EC" w:rsidRDefault="00E53F57" w:rsidP="00A031AE">
            <w:pPr>
              <w:keepNext/>
              <w:spacing w:after="0" w:line="240" w:lineRule="auto"/>
            </w:pPr>
            <w:r w:rsidRPr="00FF17EC">
              <w:t>Settlement</w:t>
            </w:r>
          </w:p>
        </w:tc>
        <w:tc>
          <w:tcPr>
            <w:tcW w:w="2694" w:type="dxa"/>
          </w:tcPr>
          <w:p w:rsidR="00E53F57" w:rsidRPr="00FF17EC" w:rsidRDefault="00E53F57" w:rsidP="00A031AE">
            <w:pPr>
              <w:keepNext/>
              <w:spacing w:after="0" w:line="240" w:lineRule="auto"/>
            </w:pPr>
            <w:r w:rsidRPr="00FF17EC">
              <w:t>3,80%</w:t>
            </w:r>
          </w:p>
        </w:tc>
      </w:tr>
      <w:tr w:rsidR="00E53F57" w:rsidRPr="00FF17EC" w:rsidTr="00A031AE">
        <w:tc>
          <w:tcPr>
            <w:tcW w:w="3510" w:type="dxa"/>
          </w:tcPr>
          <w:p w:rsidR="00E53F57" w:rsidRPr="00FF17EC" w:rsidRDefault="00E53F57" w:rsidP="00A031AE">
            <w:pPr>
              <w:keepNext/>
              <w:spacing w:after="0" w:line="240" w:lineRule="auto"/>
            </w:pPr>
            <w:r w:rsidRPr="00FF17EC">
              <w:t>Water bodies</w:t>
            </w:r>
          </w:p>
        </w:tc>
        <w:tc>
          <w:tcPr>
            <w:tcW w:w="2694" w:type="dxa"/>
          </w:tcPr>
          <w:p w:rsidR="00E53F57" w:rsidRPr="00FF17EC" w:rsidRDefault="00E53F57" w:rsidP="00A031AE">
            <w:pPr>
              <w:keepNext/>
              <w:spacing w:after="0" w:line="240" w:lineRule="auto"/>
            </w:pPr>
            <w:r w:rsidRPr="00FF17EC">
              <w:t>1,09%</w:t>
            </w:r>
          </w:p>
        </w:tc>
      </w:tr>
      <w:tr w:rsidR="00E53F57" w:rsidRPr="00FF17EC" w:rsidTr="00A031AE">
        <w:tc>
          <w:tcPr>
            <w:tcW w:w="3510" w:type="dxa"/>
          </w:tcPr>
          <w:p w:rsidR="00E53F57" w:rsidRPr="00FF17EC" w:rsidRDefault="00E53F57" w:rsidP="00A031AE">
            <w:pPr>
              <w:keepNext/>
              <w:spacing w:after="0" w:line="240" w:lineRule="auto"/>
            </w:pPr>
            <w:r w:rsidRPr="00FF17EC">
              <w:t>Marshes</w:t>
            </w:r>
          </w:p>
        </w:tc>
        <w:tc>
          <w:tcPr>
            <w:tcW w:w="2694" w:type="dxa"/>
          </w:tcPr>
          <w:p w:rsidR="00E53F57" w:rsidRPr="00FF17EC" w:rsidRDefault="00E53F57" w:rsidP="00A031AE">
            <w:pPr>
              <w:keepNext/>
              <w:spacing w:after="0" w:line="240" w:lineRule="auto"/>
            </w:pPr>
            <w:r w:rsidRPr="00FF17EC">
              <w:t>0,76%</w:t>
            </w:r>
          </w:p>
        </w:tc>
      </w:tr>
      <w:tr w:rsidR="00E53F57" w:rsidRPr="00FF17EC" w:rsidTr="00A031AE">
        <w:tc>
          <w:tcPr>
            <w:tcW w:w="3510" w:type="dxa"/>
          </w:tcPr>
          <w:p w:rsidR="00E53F57" w:rsidRPr="00FF17EC" w:rsidRDefault="00E53F57" w:rsidP="00A031AE">
            <w:pPr>
              <w:keepNext/>
              <w:spacing w:after="0" w:line="240" w:lineRule="auto"/>
            </w:pPr>
            <w:r w:rsidRPr="00FF17EC">
              <w:t>Mines</w:t>
            </w:r>
          </w:p>
        </w:tc>
        <w:tc>
          <w:tcPr>
            <w:tcW w:w="2694" w:type="dxa"/>
          </w:tcPr>
          <w:p w:rsidR="00E53F57" w:rsidRPr="00FF17EC" w:rsidRDefault="00E53F57" w:rsidP="00A031AE">
            <w:pPr>
              <w:keepNext/>
              <w:spacing w:after="0" w:line="240" w:lineRule="auto"/>
            </w:pPr>
            <w:r w:rsidRPr="00FF17EC">
              <w:t>0,14%</w:t>
            </w:r>
          </w:p>
        </w:tc>
      </w:tr>
      <w:tr w:rsidR="00E53F57" w:rsidRPr="00FF17EC" w:rsidTr="00A031AE">
        <w:tc>
          <w:tcPr>
            <w:tcW w:w="3510" w:type="dxa"/>
          </w:tcPr>
          <w:p w:rsidR="00E53F57" w:rsidRPr="00FF17EC" w:rsidRDefault="00E53F57" w:rsidP="00A031AE">
            <w:pPr>
              <w:keepNext/>
              <w:spacing w:after="0" w:line="240" w:lineRule="auto"/>
            </w:pPr>
            <w:r w:rsidRPr="00FF17EC">
              <w:t>Parks</w:t>
            </w:r>
          </w:p>
        </w:tc>
        <w:tc>
          <w:tcPr>
            <w:tcW w:w="2694" w:type="dxa"/>
          </w:tcPr>
          <w:p w:rsidR="00E53F57" w:rsidRPr="00FF17EC" w:rsidRDefault="00E53F57" w:rsidP="00A031AE">
            <w:pPr>
              <w:keepNext/>
              <w:spacing w:after="0" w:line="240" w:lineRule="auto"/>
            </w:pPr>
            <w:r w:rsidRPr="00FF17EC">
              <w:t>0,04%</w:t>
            </w:r>
          </w:p>
        </w:tc>
      </w:tr>
      <w:tr w:rsidR="00E53F57" w:rsidRPr="00FF17EC" w:rsidTr="00A031AE">
        <w:tc>
          <w:tcPr>
            <w:tcW w:w="3510" w:type="dxa"/>
          </w:tcPr>
          <w:p w:rsidR="00E53F57" w:rsidRPr="00FF17EC" w:rsidRDefault="00E53F57" w:rsidP="00A031AE">
            <w:pPr>
              <w:keepNext/>
              <w:spacing w:after="0" w:line="240" w:lineRule="auto"/>
            </w:pPr>
            <w:r w:rsidRPr="00FF17EC">
              <w:t>Barren land</w:t>
            </w:r>
          </w:p>
        </w:tc>
        <w:tc>
          <w:tcPr>
            <w:tcW w:w="2694" w:type="dxa"/>
          </w:tcPr>
          <w:p w:rsidR="00E53F57" w:rsidRPr="00FF17EC" w:rsidRDefault="00E53F57" w:rsidP="00A031AE">
            <w:pPr>
              <w:keepNext/>
              <w:spacing w:after="0" w:line="240" w:lineRule="auto"/>
            </w:pPr>
            <w:r w:rsidRPr="00FF17EC">
              <w:t>0,04%</w:t>
            </w:r>
          </w:p>
        </w:tc>
      </w:tr>
      <w:tr w:rsidR="00E53F57" w:rsidRPr="00FF17EC" w:rsidTr="00A031AE">
        <w:tc>
          <w:tcPr>
            <w:tcW w:w="3510" w:type="dxa"/>
          </w:tcPr>
          <w:p w:rsidR="00E53F57" w:rsidRPr="00FF17EC" w:rsidRDefault="00E53F57" w:rsidP="00A031AE">
            <w:pPr>
              <w:keepNext/>
              <w:spacing w:after="0" w:line="240" w:lineRule="auto"/>
            </w:pPr>
            <w:r w:rsidRPr="00FF17EC">
              <w:t>Transport infrastructures</w:t>
            </w:r>
          </w:p>
        </w:tc>
        <w:tc>
          <w:tcPr>
            <w:tcW w:w="2694" w:type="dxa"/>
          </w:tcPr>
          <w:p w:rsidR="00E53F57" w:rsidRPr="00FF17EC" w:rsidRDefault="00E53F57" w:rsidP="00A031AE">
            <w:pPr>
              <w:keepNext/>
              <w:spacing w:after="0" w:line="240" w:lineRule="auto"/>
            </w:pPr>
            <w:r w:rsidRPr="00FF17EC">
              <w:t>0,02%</w:t>
            </w:r>
          </w:p>
        </w:tc>
      </w:tr>
      <w:tr w:rsidR="00E53F57" w:rsidRPr="00FF17EC" w:rsidTr="00A031AE">
        <w:tc>
          <w:tcPr>
            <w:tcW w:w="3510" w:type="dxa"/>
          </w:tcPr>
          <w:p w:rsidR="00E53F57" w:rsidRPr="00FF17EC" w:rsidRDefault="00E53F57" w:rsidP="00A031AE">
            <w:pPr>
              <w:keepNext/>
              <w:spacing w:after="0" w:line="240" w:lineRule="auto"/>
            </w:pPr>
            <w:r w:rsidRPr="00FF17EC">
              <w:t>Dumpsites</w:t>
            </w:r>
          </w:p>
        </w:tc>
        <w:tc>
          <w:tcPr>
            <w:tcW w:w="2694" w:type="dxa"/>
          </w:tcPr>
          <w:p w:rsidR="00E53F57" w:rsidRPr="00FF17EC" w:rsidRDefault="00E53F57" w:rsidP="00A031AE">
            <w:pPr>
              <w:keepNext/>
              <w:spacing w:after="0" w:line="240" w:lineRule="auto"/>
            </w:pPr>
            <w:r w:rsidRPr="00FF17EC">
              <w:t>0,01%</w:t>
            </w:r>
          </w:p>
        </w:tc>
      </w:tr>
      <w:tr w:rsidR="00E53F57" w:rsidRPr="00FF17EC" w:rsidTr="00A031AE">
        <w:tc>
          <w:tcPr>
            <w:tcW w:w="3510" w:type="dxa"/>
          </w:tcPr>
          <w:p w:rsidR="00E53F57" w:rsidRPr="00FF17EC" w:rsidRDefault="00E53F57" w:rsidP="00A031AE">
            <w:pPr>
              <w:keepNext/>
              <w:spacing w:after="0" w:line="240" w:lineRule="auto"/>
              <w:rPr>
                <w:b/>
              </w:rPr>
            </w:pPr>
            <w:r w:rsidRPr="00FF17EC">
              <w:rPr>
                <w:b/>
              </w:rPr>
              <w:t>Total</w:t>
            </w:r>
          </w:p>
        </w:tc>
        <w:tc>
          <w:tcPr>
            <w:tcW w:w="2694" w:type="dxa"/>
          </w:tcPr>
          <w:p w:rsidR="00E53F57" w:rsidRPr="00FF17EC" w:rsidRDefault="00E53F57" w:rsidP="00A031AE">
            <w:pPr>
              <w:keepNext/>
              <w:spacing w:after="0" w:line="240" w:lineRule="auto"/>
              <w:rPr>
                <w:b/>
                <w:lang w:eastAsia="it-IT"/>
              </w:rPr>
            </w:pPr>
            <w:r w:rsidRPr="00FF17EC">
              <w:rPr>
                <w:b/>
                <w:lang w:eastAsia="it-IT"/>
              </w:rPr>
              <w:t>100%</w:t>
            </w:r>
          </w:p>
        </w:tc>
      </w:tr>
    </w:tbl>
    <w:p w:rsidR="00A031AE" w:rsidRPr="00FF17EC" w:rsidRDefault="00E53F57" w:rsidP="00A031AE">
      <w:pPr>
        <w:keepNext/>
        <w:spacing w:after="0" w:line="240" w:lineRule="auto"/>
        <w:rPr>
          <w:lang w:eastAsia="it-IT"/>
        </w:rPr>
      </w:pPr>
      <w:r w:rsidRPr="00FF17EC">
        <w:rPr>
          <w:lang w:eastAsia="it-IT"/>
        </w:rPr>
        <w:t>Source: EEA (2014), CORINE Land Cover 2000, own calculatio</w:t>
      </w:r>
      <w:r w:rsidR="005B4686" w:rsidRPr="00FF17EC">
        <w:rPr>
          <w:lang w:eastAsia="it-IT"/>
        </w:rPr>
        <w:t>n</w:t>
      </w:r>
    </w:p>
    <w:p w:rsidR="00A031AE" w:rsidRPr="00FF17EC" w:rsidRDefault="00A031AE" w:rsidP="00A031AE">
      <w:pPr>
        <w:pStyle w:val="Caption"/>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8</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1</w:t>
      </w:r>
      <w:r w:rsidR="00085686" w:rsidRPr="00FF17EC">
        <w:rPr>
          <w:noProof/>
        </w:rPr>
        <w:fldChar w:fldCharType="end"/>
      </w:r>
      <w:r w:rsidRPr="00FF17EC">
        <w:t xml:space="preserve"> Land uses in the eligible area</w:t>
      </w:r>
    </w:p>
    <w:p w:rsidR="00A031AE" w:rsidRPr="00FF17EC" w:rsidRDefault="00A031AE" w:rsidP="00E53F57">
      <w:pPr>
        <w:rPr>
          <w:lang w:eastAsia="it-IT"/>
        </w:rPr>
      </w:pPr>
    </w:p>
    <w:p w:rsidR="00E53F57" w:rsidRPr="00FF17EC" w:rsidRDefault="00E53F57" w:rsidP="00E53F57">
      <w:pPr>
        <w:pStyle w:val="Heading2"/>
      </w:pPr>
      <w:bookmarkStart w:id="88" w:name="_Toc383162914"/>
      <w:bookmarkStart w:id="89" w:name="_Toc383367984"/>
      <w:bookmarkStart w:id="90" w:name="_Toc383415720"/>
      <w:r w:rsidRPr="00FF17EC">
        <w:t>Natural and cultural resources</w:t>
      </w:r>
      <w:bookmarkEnd w:id="88"/>
      <w:bookmarkEnd w:id="89"/>
      <w:bookmarkEnd w:id="90"/>
    </w:p>
    <w:p w:rsidR="00E53F57" w:rsidRPr="00FF17EC" w:rsidRDefault="00E53F57" w:rsidP="00E53F57">
      <w:pPr>
        <w:rPr>
          <w:lang w:eastAsia="it-IT"/>
        </w:rPr>
      </w:pPr>
      <w:r w:rsidRPr="00FF17EC">
        <w:rPr>
          <w:lang w:eastAsia="it-IT"/>
        </w:rPr>
        <w:t>The programme area is extremely rich in natural resources. During the long geologic history, influences from relief, climate, soil etc. has contributed to create a rich mosaic of ecosystems and sites, e.g. the Portile de Fier/Derdapa Klisura on the Danube in the central section of the area, is among the most celebrated sites of the “Wild Europe”.</w:t>
      </w:r>
    </w:p>
    <w:p w:rsidR="00E53F57" w:rsidRPr="00FF17EC" w:rsidRDefault="00E53F57" w:rsidP="00E53F57">
      <w:pPr>
        <w:rPr>
          <w:lang w:eastAsia="it-IT"/>
        </w:rPr>
      </w:pPr>
      <w:r w:rsidRPr="00FF17EC">
        <w:rPr>
          <w:lang w:eastAsia="it-IT"/>
        </w:rPr>
        <w:t xml:space="preserve">The border area is characterized by highly varied flora, fauna and natural habitats. Natura 2000 sites cover for example up to 32% in the Mehedinți County. </w:t>
      </w:r>
    </w:p>
    <w:p w:rsidR="00E53F57" w:rsidRPr="00FF17EC" w:rsidRDefault="00E53F57" w:rsidP="00E53F57">
      <w:pPr>
        <w:rPr>
          <w:lang w:eastAsia="it-IT"/>
        </w:rPr>
        <w:sectPr w:rsidR="00E53F57" w:rsidRPr="00FF17EC" w:rsidSect="00744986">
          <w:pgSz w:w="12240" w:h="15840"/>
          <w:pgMar w:top="1843" w:right="1418" w:bottom="1701" w:left="1418" w:header="709" w:footer="255" w:gutter="0"/>
          <w:cols w:space="708"/>
          <w:noEndnote/>
          <w:docGrid w:linePitch="299"/>
        </w:sectPr>
      </w:pPr>
    </w:p>
    <w:p w:rsidR="00E53F57" w:rsidRPr="00FF17EC" w:rsidRDefault="00E53F57" w:rsidP="00E53F57">
      <w:pPr>
        <w:pStyle w:val="Caption"/>
        <w:jc w:val="center"/>
        <w:rPr>
          <w:i/>
          <w:sz w:val="20"/>
          <w:szCs w:val="20"/>
        </w:rPr>
      </w:pPr>
    </w:p>
    <w:p w:rsidR="00E53F57" w:rsidRPr="00FF17EC" w:rsidRDefault="00B466A7" w:rsidP="00E53F57">
      <w:r>
        <w:rPr>
          <w:noProof/>
          <w:lang w:eastAsia="en-GB"/>
        </w:rPr>
        <w:drawing>
          <wp:inline distT="0" distB="0" distL="0" distR="0">
            <wp:extent cx="5971540" cy="4226766"/>
            <wp:effectExtent l="19050" t="0" r="0" b="0"/>
            <wp:docPr id="18" name="Immagine 2" descr="C:\Users\biagio\Desktop\AAA Serbia Romania\AA revision after submission\mappe finali\ProgettoSerbiaRomania_Natura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agio\Desktop\AAA Serbia Romania\AA revision after submission\mappe finali\ProgettoSerbiaRomania_Natura2000.jpg"/>
                    <pic:cNvPicPr>
                      <a:picLocks noChangeAspect="1" noChangeArrowheads="1"/>
                    </pic:cNvPicPr>
                  </pic:nvPicPr>
                  <pic:blipFill>
                    <a:blip r:embed="rId43"/>
                    <a:srcRect/>
                    <a:stretch>
                      <a:fillRect/>
                    </a:stretch>
                  </pic:blipFill>
                  <pic:spPr bwMode="auto">
                    <a:xfrm>
                      <a:off x="0" y="0"/>
                      <a:ext cx="5971540" cy="4226766"/>
                    </a:xfrm>
                    <a:prstGeom prst="rect">
                      <a:avLst/>
                    </a:prstGeom>
                    <a:noFill/>
                    <a:ln w="9525">
                      <a:noFill/>
                      <a:miter lim="800000"/>
                      <a:headEnd/>
                      <a:tailEnd/>
                    </a:ln>
                  </pic:spPr>
                </pic:pic>
              </a:graphicData>
            </a:graphic>
          </wp:inline>
        </w:drawing>
      </w:r>
    </w:p>
    <w:p w:rsidR="00E53F57" w:rsidRPr="00FF17EC" w:rsidRDefault="00E53F57" w:rsidP="00E53F57">
      <w:pPr>
        <w:rPr>
          <w:sz w:val="20"/>
          <w:szCs w:val="20"/>
          <w:lang w:eastAsia="it-IT"/>
        </w:rPr>
      </w:pPr>
      <w:r w:rsidRPr="00FF17EC">
        <w:rPr>
          <w:sz w:val="20"/>
          <w:szCs w:val="20"/>
          <w:lang w:eastAsia="it-IT"/>
        </w:rPr>
        <w:t>Source: EEA (2013), NATURA2000, own illustration</w:t>
      </w:r>
    </w:p>
    <w:p w:rsidR="001D554E" w:rsidRPr="00FF17EC" w:rsidRDefault="001D554E" w:rsidP="001D554E">
      <w:pPr>
        <w:pStyle w:val="Caption"/>
        <w:jc w:val="left"/>
        <w:rPr>
          <w:i/>
          <w:sz w:val="22"/>
          <w:lang w:eastAsia="it-IT"/>
        </w:rPr>
      </w:pPr>
      <w:r w:rsidRPr="00FF17EC">
        <w:rPr>
          <w:sz w:val="22"/>
        </w:rPr>
        <w:t>Map 8</w:t>
      </w:r>
      <w:r w:rsidRPr="00FF17EC">
        <w:rPr>
          <w:sz w:val="22"/>
        </w:rPr>
        <w:noBreakHyphen/>
      </w:r>
      <w:r w:rsidR="00085686" w:rsidRPr="00FF17EC">
        <w:rPr>
          <w:sz w:val="22"/>
        </w:rPr>
        <w:fldChar w:fldCharType="begin"/>
      </w:r>
      <w:r w:rsidRPr="00FF17EC">
        <w:rPr>
          <w:sz w:val="22"/>
        </w:rPr>
        <w:instrText xml:space="preserve"> SEQ Map \* ARABIC \s 1 </w:instrText>
      </w:r>
      <w:r w:rsidR="00085686" w:rsidRPr="00FF17EC">
        <w:rPr>
          <w:sz w:val="22"/>
        </w:rPr>
        <w:fldChar w:fldCharType="separate"/>
      </w:r>
      <w:r w:rsidR="00B466A7">
        <w:rPr>
          <w:noProof/>
          <w:sz w:val="22"/>
        </w:rPr>
        <w:t>2</w:t>
      </w:r>
      <w:r w:rsidR="00085686" w:rsidRPr="00FF17EC">
        <w:rPr>
          <w:sz w:val="22"/>
        </w:rPr>
        <w:fldChar w:fldCharType="end"/>
      </w:r>
      <w:r w:rsidRPr="00FF17EC">
        <w:rPr>
          <w:i/>
          <w:sz w:val="22"/>
        </w:rPr>
        <w:t xml:space="preserve"> NATURA 2000 Sites in and near the Programme Area</w:t>
      </w:r>
    </w:p>
    <w:p w:rsidR="00A031AE" w:rsidRPr="00FF17EC" w:rsidRDefault="00A031AE" w:rsidP="00E53F57">
      <w:pPr>
        <w:rPr>
          <w:b/>
        </w:rPr>
      </w:pPr>
    </w:p>
    <w:p w:rsidR="00E53F57" w:rsidRPr="00FF17EC" w:rsidRDefault="00B466A7" w:rsidP="00E53F57">
      <w:r>
        <w:rPr>
          <w:noProof/>
          <w:lang w:eastAsia="en-GB"/>
        </w:rPr>
        <w:lastRenderedPageBreak/>
        <w:drawing>
          <wp:inline distT="0" distB="0" distL="0" distR="0">
            <wp:extent cx="5971540" cy="4226766"/>
            <wp:effectExtent l="19050" t="0" r="0" b="0"/>
            <wp:docPr id="19" name="Immagine 3" descr="C:\Users\biagio\Desktop\AAA Serbia Romania\AA revision after submission\mappe finali\ProgettoSerbiaRomania_Protected area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iagio\Desktop\AAA Serbia Romania\AA revision after submission\mappe finali\ProgettoSerbiaRomania_Protected areas(2).jpg"/>
                    <pic:cNvPicPr>
                      <a:picLocks noChangeAspect="1" noChangeArrowheads="1"/>
                    </pic:cNvPicPr>
                  </pic:nvPicPr>
                  <pic:blipFill>
                    <a:blip r:embed="rId44"/>
                    <a:srcRect/>
                    <a:stretch>
                      <a:fillRect/>
                    </a:stretch>
                  </pic:blipFill>
                  <pic:spPr bwMode="auto">
                    <a:xfrm>
                      <a:off x="0" y="0"/>
                      <a:ext cx="5971540" cy="4226766"/>
                    </a:xfrm>
                    <a:prstGeom prst="rect">
                      <a:avLst/>
                    </a:prstGeom>
                    <a:noFill/>
                    <a:ln w="9525">
                      <a:noFill/>
                      <a:miter lim="800000"/>
                      <a:headEnd/>
                      <a:tailEnd/>
                    </a:ln>
                  </pic:spPr>
                </pic:pic>
              </a:graphicData>
            </a:graphic>
          </wp:inline>
        </w:drawing>
      </w:r>
    </w:p>
    <w:p w:rsidR="00E53F57" w:rsidRPr="00FF17EC" w:rsidRDefault="00E53F57" w:rsidP="00E53F57">
      <w:pPr>
        <w:rPr>
          <w:sz w:val="20"/>
          <w:szCs w:val="20"/>
          <w:lang w:eastAsia="it-IT"/>
        </w:rPr>
      </w:pPr>
      <w:r w:rsidRPr="00FF17EC">
        <w:rPr>
          <w:sz w:val="20"/>
          <w:szCs w:val="20"/>
          <w:lang w:eastAsia="it-IT"/>
        </w:rPr>
        <w:t>Source: EEA (2013), nationally designated areas (CDDA), own illustration</w:t>
      </w:r>
    </w:p>
    <w:p w:rsidR="00A031AE" w:rsidRPr="00FF17EC" w:rsidRDefault="00A031AE" w:rsidP="00A031AE">
      <w:pPr>
        <w:rPr>
          <w:b/>
          <w:lang w:eastAsia="it-IT"/>
        </w:rPr>
      </w:pPr>
      <w:r w:rsidRPr="00FF17EC">
        <w:rPr>
          <w:b/>
        </w:rPr>
        <w:t xml:space="preserve">Map </w:t>
      </w:r>
      <w:r w:rsidR="00393059" w:rsidRPr="00FF17EC">
        <w:rPr>
          <w:b/>
        </w:rPr>
        <w:t>8</w:t>
      </w:r>
      <w:r w:rsidRPr="00FF17EC">
        <w:rPr>
          <w:b/>
        </w:rPr>
        <w:noBreakHyphen/>
      </w:r>
      <w:r w:rsidR="00085686" w:rsidRPr="00FF17EC">
        <w:rPr>
          <w:b/>
        </w:rPr>
        <w:fldChar w:fldCharType="begin"/>
      </w:r>
      <w:r w:rsidRPr="00FF17EC">
        <w:rPr>
          <w:b/>
        </w:rPr>
        <w:instrText xml:space="preserve"> SEQ Map \* ARABIC \s 1 </w:instrText>
      </w:r>
      <w:r w:rsidR="00085686" w:rsidRPr="00FF17EC">
        <w:rPr>
          <w:b/>
        </w:rPr>
        <w:fldChar w:fldCharType="separate"/>
      </w:r>
      <w:r w:rsidR="00B466A7">
        <w:rPr>
          <w:b/>
          <w:noProof/>
        </w:rPr>
        <w:t>3</w:t>
      </w:r>
      <w:r w:rsidR="00085686" w:rsidRPr="00FF17EC">
        <w:rPr>
          <w:b/>
        </w:rPr>
        <w:fldChar w:fldCharType="end"/>
      </w:r>
      <w:r w:rsidR="00B466A7">
        <w:rPr>
          <w:b/>
        </w:rPr>
        <w:t xml:space="preserve"> </w:t>
      </w:r>
      <w:r w:rsidRPr="00FF17EC">
        <w:rPr>
          <w:b/>
        </w:rPr>
        <w:t>Nature protected areas in and near the Programme Area</w:t>
      </w:r>
    </w:p>
    <w:p w:rsidR="00A031AE" w:rsidRPr="00FF17EC" w:rsidRDefault="00A031AE" w:rsidP="00E53F57">
      <w:pPr>
        <w:rPr>
          <w:sz w:val="20"/>
          <w:szCs w:val="20"/>
          <w:lang w:eastAsia="it-IT"/>
        </w:rPr>
      </w:pPr>
    </w:p>
    <w:p w:rsidR="00E53F57" w:rsidRPr="00FF17EC" w:rsidRDefault="00E53F57" w:rsidP="00E53F57">
      <w:pPr>
        <w:rPr>
          <w:lang w:eastAsia="it-IT"/>
        </w:rPr>
      </w:pPr>
      <w:r w:rsidRPr="00FF17EC">
        <w:rPr>
          <w:lang w:eastAsia="it-IT"/>
        </w:rPr>
        <w:t>This rich natural environment is evident by the numerous protected areas with an area of several thousand hectares.</w:t>
      </w:r>
    </w:p>
    <w:p w:rsidR="00E53F57" w:rsidRPr="00FF17EC" w:rsidRDefault="00E53F57" w:rsidP="00E53F57">
      <w:pPr>
        <w:rPr>
          <w:lang w:eastAsia="it-IT"/>
        </w:rPr>
      </w:pPr>
    </w:p>
    <w:p w:rsidR="00E53F57" w:rsidRPr="00FF17EC" w:rsidRDefault="00E53F57" w:rsidP="00E53F57">
      <w:pPr>
        <w:rPr>
          <w:lang w:eastAsia="it-IT"/>
        </w:rPr>
      </w:pPr>
    </w:p>
    <w:p w:rsidR="00E53F57" w:rsidRPr="00FF17EC" w:rsidRDefault="00E53F57" w:rsidP="00E53F57">
      <w:pPr>
        <w:sectPr w:rsidR="00E53F57" w:rsidRPr="00FF17EC" w:rsidSect="00015F7F">
          <w:pgSz w:w="12240" w:h="15840"/>
          <w:pgMar w:top="1843" w:right="1418" w:bottom="1701" w:left="1418" w:header="709" w:footer="492" w:gutter="0"/>
          <w:cols w:space="708"/>
          <w:noEndnote/>
        </w:sectPr>
      </w:pPr>
    </w:p>
    <w:p w:rsidR="00E53F57" w:rsidRPr="00FF17EC" w:rsidRDefault="00E53F57" w:rsidP="00E53F57">
      <w:pPr>
        <w:rPr>
          <w:lang w:eastAsia="it-IT"/>
        </w:rPr>
      </w:pPr>
      <w:r w:rsidRPr="00FF17EC">
        <w:rPr>
          <w:lang w:eastAsia="it-IT"/>
        </w:rPr>
        <w:lastRenderedPageBreak/>
        <w:t>Among others areas of attraction, which can be an important asset in tourism development include:</w:t>
      </w:r>
    </w:p>
    <w:tbl>
      <w:tblPr>
        <w:tblStyle w:val="TableGrid"/>
        <w:tblW w:w="9889" w:type="dxa"/>
        <w:tblLayout w:type="fixed"/>
        <w:tblLook w:val="04A0" w:firstRow="1" w:lastRow="0" w:firstColumn="1" w:lastColumn="0" w:noHBand="0" w:noVBand="1"/>
      </w:tblPr>
      <w:tblGrid>
        <w:gridCol w:w="1188"/>
        <w:gridCol w:w="1188"/>
        <w:gridCol w:w="3261"/>
        <w:gridCol w:w="4252"/>
      </w:tblGrid>
      <w:tr w:rsidR="00E53F57" w:rsidRPr="00FF17EC" w:rsidTr="00393059">
        <w:tc>
          <w:tcPr>
            <w:tcW w:w="1188" w:type="dxa"/>
            <w:vAlign w:val="center"/>
          </w:tcPr>
          <w:p w:rsidR="00E53F57" w:rsidRPr="00FF17EC" w:rsidRDefault="00E53F57" w:rsidP="00A031AE">
            <w:pPr>
              <w:spacing w:after="0" w:line="240" w:lineRule="auto"/>
              <w:jc w:val="left"/>
              <w:rPr>
                <w:b/>
              </w:rPr>
            </w:pPr>
            <w:r w:rsidRPr="00FF17EC">
              <w:rPr>
                <w:b/>
              </w:rPr>
              <w:t>Country</w:t>
            </w:r>
          </w:p>
        </w:tc>
        <w:tc>
          <w:tcPr>
            <w:tcW w:w="1188" w:type="dxa"/>
            <w:vAlign w:val="center"/>
          </w:tcPr>
          <w:p w:rsidR="00E53F57" w:rsidRPr="00FF17EC" w:rsidRDefault="00E53F57" w:rsidP="00A031AE">
            <w:pPr>
              <w:spacing w:after="0" w:line="240" w:lineRule="auto"/>
              <w:jc w:val="left"/>
              <w:rPr>
                <w:b/>
              </w:rPr>
            </w:pPr>
            <w:r w:rsidRPr="00FF17EC">
              <w:rPr>
                <w:b/>
              </w:rPr>
              <w:t>District</w:t>
            </w:r>
          </w:p>
        </w:tc>
        <w:tc>
          <w:tcPr>
            <w:tcW w:w="3261" w:type="dxa"/>
            <w:vAlign w:val="center"/>
          </w:tcPr>
          <w:p w:rsidR="00E53F57" w:rsidRPr="00FF17EC" w:rsidRDefault="00E53F57" w:rsidP="00A031AE">
            <w:pPr>
              <w:spacing w:after="0" w:line="240" w:lineRule="auto"/>
              <w:jc w:val="left"/>
              <w:rPr>
                <w:b/>
              </w:rPr>
            </w:pPr>
            <w:r w:rsidRPr="00FF17EC">
              <w:rPr>
                <w:b/>
              </w:rPr>
              <w:t>Natural Protected Areas</w:t>
            </w:r>
          </w:p>
        </w:tc>
        <w:tc>
          <w:tcPr>
            <w:tcW w:w="4252" w:type="dxa"/>
            <w:vAlign w:val="center"/>
          </w:tcPr>
          <w:p w:rsidR="00E53F57" w:rsidRPr="00FF17EC" w:rsidRDefault="00E53F57" w:rsidP="00A031AE">
            <w:pPr>
              <w:spacing w:after="0" w:line="240" w:lineRule="auto"/>
              <w:jc w:val="left"/>
              <w:rPr>
                <w:b/>
              </w:rPr>
            </w:pPr>
          </w:p>
          <w:p w:rsidR="00E53F57" w:rsidRPr="00FF17EC" w:rsidRDefault="00E53F57" w:rsidP="00A031AE">
            <w:pPr>
              <w:spacing w:after="0" w:line="240" w:lineRule="auto"/>
              <w:jc w:val="left"/>
              <w:rPr>
                <w:b/>
              </w:rPr>
            </w:pPr>
            <w:r w:rsidRPr="00FF17EC">
              <w:rPr>
                <w:b/>
              </w:rPr>
              <w:t>Main Cultural and historical Attractions</w:t>
            </w:r>
          </w:p>
        </w:tc>
      </w:tr>
      <w:tr w:rsidR="00E53F57" w:rsidRPr="00FF17EC" w:rsidTr="00393059">
        <w:tc>
          <w:tcPr>
            <w:tcW w:w="1188" w:type="dxa"/>
            <w:vMerge w:val="restart"/>
            <w:vAlign w:val="center"/>
          </w:tcPr>
          <w:p w:rsidR="00E53F57" w:rsidRPr="00FF17EC" w:rsidRDefault="00E53F57" w:rsidP="00A031AE">
            <w:pPr>
              <w:spacing w:after="0" w:line="240" w:lineRule="auto"/>
              <w:jc w:val="left"/>
              <w:rPr>
                <w:lang w:eastAsia="it-IT"/>
              </w:rPr>
            </w:pPr>
            <w:r w:rsidRPr="00FF17EC">
              <w:rPr>
                <w:lang w:eastAsia="it-IT"/>
              </w:rPr>
              <w:t>Romania</w:t>
            </w:r>
          </w:p>
        </w:tc>
        <w:tc>
          <w:tcPr>
            <w:tcW w:w="1188" w:type="dxa"/>
            <w:vAlign w:val="center"/>
          </w:tcPr>
          <w:p w:rsidR="00E53F57" w:rsidRPr="00FF17EC" w:rsidRDefault="00E53F57" w:rsidP="00A031AE">
            <w:pPr>
              <w:spacing w:after="0" w:line="240" w:lineRule="auto"/>
              <w:jc w:val="left"/>
            </w:pPr>
          </w:p>
          <w:p w:rsidR="00E53F57" w:rsidRPr="00FF17EC" w:rsidRDefault="00E53F57" w:rsidP="00A031AE">
            <w:pPr>
              <w:spacing w:after="0" w:line="240" w:lineRule="auto"/>
              <w:jc w:val="left"/>
            </w:pPr>
            <w:r w:rsidRPr="00FF17EC">
              <w:t>Timiş</w:t>
            </w:r>
          </w:p>
        </w:tc>
        <w:tc>
          <w:tcPr>
            <w:tcW w:w="3261" w:type="dxa"/>
            <w:vAlign w:val="center"/>
          </w:tcPr>
          <w:p w:rsidR="00E53F57" w:rsidRPr="00FF17EC" w:rsidRDefault="00E53F57" w:rsidP="00A031AE">
            <w:pPr>
              <w:spacing w:after="0" w:line="240" w:lineRule="auto"/>
              <w:jc w:val="left"/>
              <w:rPr>
                <w:lang w:val="it-IT" w:eastAsia="it-IT"/>
              </w:rPr>
            </w:pPr>
            <w:r w:rsidRPr="00FF17EC">
              <w:rPr>
                <w:lang w:val="it-IT" w:eastAsia="it-IT"/>
              </w:rPr>
              <w:t>Saraturile Dinias Reserve</w:t>
            </w:r>
          </w:p>
          <w:p w:rsidR="00E53F57" w:rsidRPr="00FF17EC" w:rsidRDefault="00E53F57" w:rsidP="00A031AE">
            <w:pPr>
              <w:spacing w:after="0" w:line="240" w:lineRule="auto"/>
              <w:jc w:val="left"/>
              <w:rPr>
                <w:lang w:val="it-IT" w:eastAsia="it-IT"/>
              </w:rPr>
            </w:pPr>
            <w:r w:rsidRPr="00FF17EC">
              <w:rPr>
                <w:lang w:val="it-IT" w:eastAsia="it-IT"/>
              </w:rPr>
              <w:t>Mlastinile Satchinez Reserve</w:t>
            </w:r>
          </w:p>
          <w:p w:rsidR="00E53F57" w:rsidRPr="00FF17EC" w:rsidRDefault="00E53F57" w:rsidP="00A031AE">
            <w:pPr>
              <w:spacing w:after="0" w:line="240" w:lineRule="auto"/>
              <w:jc w:val="left"/>
              <w:rPr>
                <w:lang w:val="it-IT" w:eastAsia="it-IT"/>
              </w:rPr>
            </w:pPr>
            <w:r w:rsidRPr="00FF17EC">
              <w:rPr>
                <w:lang w:val="it-IT" w:eastAsia="it-IT"/>
              </w:rPr>
              <w:t>Lacul Surduc Reserve</w:t>
            </w:r>
          </w:p>
          <w:p w:rsidR="00E53F57" w:rsidRPr="00FF17EC" w:rsidRDefault="00E53F57" w:rsidP="00A031AE">
            <w:pPr>
              <w:spacing w:after="0" w:line="240" w:lineRule="auto"/>
              <w:jc w:val="left"/>
              <w:rPr>
                <w:lang w:val="it-IT" w:eastAsia="it-IT"/>
              </w:rPr>
            </w:pPr>
            <w:r w:rsidRPr="00FF17EC">
              <w:rPr>
                <w:lang w:val="it-IT" w:eastAsia="it-IT"/>
              </w:rPr>
              <w:t>Insula Mare Cenad Reserve</w:t>
            </w:r>
          </w:p>
          <w:p w:rsidR="00E53F57" w:rsidRPr="00FF17EC" w:rsidRDefault="00E53F57" w:rsidP="00A031AE">
            <w:pPr>
              <w:spacing w:after="0" w:line="240" w:lineRule="auto"/>
              <w:jc w:val="left"/>
              <w:rPr>
                <w:lang w:val="it-IT" w:eastAsia="it-IT"/>
              </w:rPr>
            </w:pPr>
            <w:r w:rsidRPr="00FF17EC">
              <w:rPr>
                <w:lang w:val="it-IT" w:eastAsia="it-IT"/>
              </w:rPr>
              <w:t>Mlastinile Murani Reserve</w:t>
            </w:r>
          </w:p>
          <w:p w:rsidR="00E53F57" w:rsidRPr="00FF17EC" w:rsidRDefault="00E53F57" w:rsidP="00A031AE">
            <w:pPr>
              <w:spacing w:after="0" w:line="240" w:lineRule="auto"/>
              <w:jc w:val="left"/>
              <w:rPr>
                <w:lang w:val="it-IT" w:eastAsia="it-IT"/>
              </w:rPr>
            </w:pPr>
            <w:r w:rsidRPr="00FF17EC">
              <w:rPr>
                <w:lang w:val="it-IT" w:eastAsia="it-IT"/>
              </w:rPr>
              <w:t>Padurea Cenad Reserve</w:t>
            </w:r>
          </w:p>
          <w:p w:rsidR="00E53F57" w:rsidRPr="00FF17EC" w:rsidRDefault="00E53F57" w:rsidP="00A031AE">
            <w:pPr>
              <w:spacing w:after="0" w:line="240" w:lineRule="auto"/>
              <w:jc w:val="left"/>
              <w:rPr>
                <w:lang w:val="it-IT" w:eastAsia="it-IT"/>
              </w:rPr>
            </w:pPr>
            <w:r w:rsidRPr="00FF17EC">
              <w:rPr>
                <w:lang w:val="it-IT" w:eastAsia="it-IT"/>
              </w:rPr>
              <w:t>Lunca Poganisului Reserve</w:t>
            </w:r>
          </w:p>
        </w:tc>
        <w:tc>
          <w:tcPr>
            <w:tcW w:w="4252" w:type="dxa"/>
            <w:vAlign w:val="center"/>
          </w:tcPr>
          <w:p w:rsidR="00E53F57" w:rsidRPr="00FF17EC" w:rsidRDefault="00E53F57" w:rsidP="00A031AE">
            <w:pPr>
              <w:spacing w:after="0" w:line="240" w:lineRule="auto"/>
              <w:jc w:val="left"/>
              <w:rPr>
                <w:lang w:eastAsia="it-IT"/>
              </w:rPr>
            </w:pPr>
            <w:r w:rsidRPr="00FF17EC">
              <w:rPr>
                <w:lang w:eastAsia="it-IT"/>
              </w:rPr>
              <w:t>Historic centre in Timișoara with the traditional neighbourhoods of Cetate, Iosefin, Fabric and Elisabetin;</w:t>
            </w:r>
          </w:p>
          <w:p w:rsidR="00E53F57" w:rsidRPr="00FF17EC" w:rsidRDefault="00E53F57" w:rsidP="00A031AE">
            <w:pPr>
              <w:spacing w:after="0" w:line="240" w:lineRule="auto"/>
              <w:jc w:val="left"/>
              <w:rPr>
                <w:lang w:eastAsia="it-IT"/>
              </w:rPr>
            </w:pPr>
            <w:r w:rsidRPr="00FF17EC">
              <w:rPr>
                <w:lang w:eastAsia="it-IT"/>
              </w:rPr>
              <w:t>Old town of Lugoj</w:t>
            </w:r>
          </w:p>
          <w:p w:rsidR="00E53F57" w:rsidRPr="00FF17EC" w:rsidRDefault="00E53F57" w:rsidP="00A031AE">
            <w:pPr>
              <w:spacing w:after="0" w:line="240" w:lineRule="auto"/>
              <w:jc w:val="left"/>
              <w:rPr>
                <w:lang w:eastAsia="it-IT"/>
              </w:rPr>
            </w:pPr>
            <w:r w:rsidRPr="00FF17EC">
              <w:rPr>
                <w:lang w:eastAsia="it-IT"/>
              </w:rPr>
              <w:t>Castle of General Mercy</w:t>
            </w:r>
          </w:p>
          <w:p w:rsidR="00E53F57" w:rsidRPr="00FF17EC" w:rsidRDefault="00E53F57" w:rsidP="00A031AE">
            <w:pPr>
              <w:spacing w:after="0" w:line="240" w:lineRule="auto"/>
              <w:jc w:val="left"/>
              <w:rPr>
                <w:lang w:eastAsia="it-IT"/>
              </w:rPr>
            </w:pPr>
            <w:r w:rsidRPr="00FF17EC">
              <w:rPr>
                <w:lang w:eastAsia="it-IT"/>
              </w:rPr>
              <w:t>Fortifications and town of Făget</w:t>
            </w:r>
          </w:p>
          <w:p w:rsidR="00E53F57" w:rsidRPr="00FF17EC" w:rsidRDefault="00E53F57" w:rsidP="00A031AE">
            <w:pPr>
              <w:spacing w:after="0" w:line="240" w:lineRule="auto"/>
              <w:jc w:val="left"/>
              <w:rPr>
                <w:lang w:eastAsia="it-IT"/>
              </w:rPr>
            </w:pPr>
            <w:r w:rsidRPr="00FF17EC">
              <w:rPr>
                <w:lang w:eastAsia="it-IT"/>
              </w:rPr>
              <w:t>Town and Thermal Baths of Buziaș</w:t>
            </w:r>
          </w:p>
        </w:tc>
      </w:tr>
      <w:tr w:rsidR="00E53F57" w:rsidRPr="00FF17EC" w:rsidTr="00393059">
        <w:tc>
          <w:tcPr>
            <w:tcW w:w="1188" w:type="dxa"/>
            <w:vMerge/>
            <w:vAlign w:val="center"/>
          </w:tcPr>
          <w:p w:rsidR="00E53F57" w:rsidRPr="00FF17EC" w:rsidRDefault="00E53F57" w:rsidP="00A031AE">
            <w:pPr>
              <w:spacing w:after="0" w:line="240" w:lineRule="auto"/>
              <w:jc w:val="left"/>
              <w:rPr>
                <w:lang w:eastAsia="it-IT"/>
              </w:rPr>
            </w:pPr>
          </w:p>
        </w:tc>
        <w:tc>
          <w:tcPr>
            <w:tcW w:w="1188" w:type="dxa"/>
            <w:vAlign w:val="center"/>
          </w:tcPr>
          <w:p w:rsidR="00E53F57" w:rsidRPr="00FF17EC" w:rsidRDefault="00E53F57" w:rsidP="00A031AE">
            <w:pPr>
              <w:spacing w:after="0" w:line="240" w:lineRule="auto"/>
              <w:jc w:val="left"/>
            </w:pPr>
            <w:r w:rsidRPr="00FF17EC">
              <w:t>Caraş-Severin</w:t>
            </w:r>
          </w:p>
        </w:tc>
        <w:tc>
          <w:tcPr>
            <w:tcW w:w="3261" w:type="dxa"/>
            <w:vAlign w:val="center"/>
          </w:tcPr>
          <w:p w:rsidR="00E53F57" w:rsidRPr="00FF17EC" w:rsidRDefault="00E53F57" w:rsidP="00A031AE">
            <w:pPr>
              <w:spacing w:after="0" w:line="240" w:lineRule="auto"/>
              <w:jc w:val="left"/>
              <w:rPr>
                <w:lang w:val="it-IT" w:eastAsia="it-IT"/>
              </w:rPr>
            </w:pPr>
            <w:r w:rsidRPr="00FF17EC">
              <w:rPr>
                <w:lang w:val="it-IT" w:eastAsia="it-IT"/>
              </w:rPr>
              <w:t>Portile de Fier Natural Parc</w:t>
            </w:r>
          </w:p>
          <w:p w:rsidR="00E53F57" w:rsidRPr="00FF17EC" w:rsidRDefault="00E53F57" w:rsidP="00A031AE">
            <w:pPr>
              <w:spacing w:after="0" w:line="240" w:lineRule="auto"/>
              <w:jc w:val="left"/>
              <w:rPr>
                <w:lang w:val="it-IT" w:eastAsia="it-IT"/>
              </w:rPr>
            </w:pPr>
            <w:r w:rsidRPr="00FF17EC">
              <w:rPr>
                <w:lang w:val="it-IT" w:eastAsia="it-IT"/>
              </w:rPr>
              <w:t>Cheile Nerei – Beusnita National Parc</w:t>
            </w:r>
          </w:p>
          <w:p w:rsidR="00E53F57" w:rsidRPr="00FF17EC" w:rsidRDefault="00E53F57" w:rsidP="00A031AE">
            <w:pPr>
              <w:spacing w:after="0" w:line="240" w:lineRule="auto"/>
              <w:jc w:val="left"/>
              <w:rPr>
                <w:lang w:val="it-IT" w:eastAsia="it-IT"/>
              </w:rPr>
            </w:pPr>
            <w:r w:rsidRPr="00FF17EC">
              <w:rPr>
                <w:lang w:val="it-IT" w:eastAsia="it-IT"/>
              </w:rPr>
              <w:t>Semenic - Cheile Carasului National Parc</w:t>
            </w:r>
          </w:p>
          <w:p w:rsidR="00E53F57" w:rsidRPr="00FF17EC" w:rsidRDefault="00E53F57" w:rsidP="00A031AE">
            <w:pPr>
              <w:spacing w:after="0" w:line="240" w:lineRule="auto"/>
              <w:jc w:val="left"/>
              <w:rPr>
                <w:lang w:val="it-IT" w:eastAsia="it-IT"/>
              </w:rPr>
            </w:pPr>
            <w:r w:rsidRPr="00FF17EC">
              <w:rPr>
                <w:lang w:val="it-IT" w:eastAsia="it-IT"/>
              </w:rPr>
              <w:t>Izvoarele Nerei Reserve</w:t>
            </w:r>
          </w:p>
          <w:p w:rsidR="00E53F57" w:rsidRPr="00FF17EC" w:rsidRDefault="00E53F57" w:rsidP="00A031AE">
            <w:pPr>
              <w:spacing w:after="0" w:line="240" w:lineRule="auto"/>
              <w:jc w:val="left"/>
              <w:rPr>
                <w:lang w:val="de-AT" w:eastAsia="it-IT"/>
              </w:rPr>
            </w:pPr>
            <w:r w:rsidRPr="00FF17EC">
              <w:rPr>
                <w:lang w:val="de-AT" w:eastAsia="it-IT"/>
              </w:rPr>
              <w:t>Rezervatia Cheile Nerei - Beusnita Reserve</w:t>
            </w:r>
          </w:p>
        </w:tc>
        <w:tc>
          <w:tcPr>
            <w:tcW w:w="4252" w:type="dxa"/>
            <w:vAlign w:val="center"/>
          </w:tcPr>
          <w:p w:rsidR="00E53F57" w:rsidRPr="00FF17EC" w:rsidRDefault="00E53F57" w:rsidP="00A031AE">
            <w:pPr>
              <w:spacing w:after="0" w:line="240" w:lineRule="auto"/>
              <w:jc w:val="left"/>
              <w:rPr>
                <w:lang w:eastAsia="it-IT"/>
              </w:rPr>
            </w:pPr>
            <w:r w:rsidRPr="00FF17EC">
              <w:rPr>
                <w:lang w:eastAsia="it-IT"/>
              </w:rPr>
              <w:t xml:space="preserve">Town and Thermal Baths Băile Herculane </w:t>
            </w:r>
          </w:p>
          <w:p w:rsidR="00E53F57" w:rsidRPr="00FF17EC" w:rsidRDefault="00E53F57" w:rsidP="00A031AE">
            <w:pPr>
              <w:spacing w:after="0" w:line="240" w:lineRule="auto"/>
              <w:jc w:val="left"/>
              <w:rPr>
                <w:lang w:eastAsia="it-IT"/>
              </w:rPr>
            </w:pPr>
            <w:r w:rsidRPr="00FF17EC">
              <w:rPr>
                <w:lang w:eastAsia="it-IT"/>
              </w:rPr>
              <w:t>Semenic Winter sports resort</w:t>
            </w:r>
          </w:p>
          <w:p w:rsidR="00E53F57" w:rsidRPr="00FF17EC" w:rsidRDefault="00E53F57" w:rsidP="00A031AE">
            <w:pPr>
              <w:spacing w:after="0" w:line="240" w:lineRule="auto"/>
              <w:jc w:val="left"/>
              <w:rPr>
                <w:lang w:eastAsia="it-IT"/>
              </w:rPr>
            </w:pPr>
            <w:r w:rsidRPr="00FF17EC">
              <w:rPr>
                <w:lang w:eastAsia="it-IT"/>
              </w:rPr>
              <w:t>G</w:t>
            </w:r>
            <w:r w:rsidRPr="00FF17EC">
              <w:rPr>
                <w:rFonts w:ascii="Arial" w:hAnsi="Arial" w:cs="Arial"/>
                <w:lang w:eastAsia="it-IT"/>
              </w:rPr>
              <w:t>ǎ</w:t>
            </w:r>
            <w:r w:rsidRPr="00FF17EC">
              <w:rPr>
                <w:lang w:eastAsia="it-IT"/>
              </w:rPr>
              <w:t>râna Jazz Festival</w:t>
            </w:r>
          </w:p>
          <w:p w:rsidR="00E53F57" w:rsidRPr="00FF17EC" w:rsidRDefault="00E53F57" w:rsidP="00A031AE">
            <w:pPr>
              <w:spacing w:after="0" w:line="240" w:lineRule="auto"/>
              <w:jc w:val="left"/>
              <w:rPr>
                <w:lang w:eastAsia="it-IT"/>
              </w:rPr>
            </w:pPr>
            <w:r w:rsidRPr="00FF17EC">
              <w:rPr>
                <w:lang w:eastAsia="it-IT"/>
              </w:rPr>
              <w:t xml:space="preserve">Caransebeș synagogue </w:t>
            </w:r>
          </w:p>
          <w:p w:rsidR="00E53F57" w:rsidRPr="00FF17EC" w:rsidRDefault="00E53F57" w:rsidP="00A031AE">
            <w:pPr>
              <w:spacing w:after="0" w:line="240" w:lineRule="auto"/>
              <w:jc w:val="left"/>
              <w:rPr>
                <w:lang w:eastAsia="it-IT"/>
              </w:rPr>
            </w:pPr>
            <w:r w:rsidRPr="00FF17EC">
              <w:rPr>
                <w:lang w:eastAsia="it-IT"/>
              </w:rPr>
              <w:t>Caransebeș Museum of Ethnography</w:t>
            </w:r>
          </w:p>
        </w:tc>
      </w:tr>
      <w:tr w:rsidR="00E53F57" w:rsidRPr="00FF17EC" w:rsidTr="00393059">
        <w:tc>
          <w:tcPr>
            <w:tcW w:w="1188" w:type="dxa"/>
            <w:vMerge/>
            <w:vAlign w:val="center"/>
          </w:tcPr>
          <w:p w:rsidR="00E53F57" w:rsidRPr="00FF17EC" w:rsidRDefault="00E53F57" w:rsidP="00A031AE">
            <w:pPr>
              <w:spacing w:after="0" w:line="240" w:lineRule="auto"/>
              <w:jc w:val="left"/>
              <w:rPr>
                <w:lang w:eastAsia="it-IT"/>
              </w:rPr>
            </w:pPr>
          </w:p>
        </w:tc>
        <w:tc>
          <w:tcPr>
            <w:tcW w:w="1188" w:type="dxa"/>
            <w:vAlign w:val="center"/>
          </w:tcPr>
          <w:p w:rsidR="00E53F57" w:rsidRPr="00FF17EC" w:rsidRDefault="00E53F57" w:rsidP="00A031AE">
            <w:pPr>
              <w:spacing w:after="0" w:line="240" w:lineRule="auto"/>
              <w:jc w:val="left"/>
            </w:pPr>
            <w:r w:rsidRPr="00FF17EC">
              <w:t>Mehedinţi</w:t>
            </w:r>
          </w:p>
        </w:tc>
        <w:tc>
          <w:tcPr>
            <w:tcW w:w="3261" w:type="dxa"/>
            <w:vAlign w:val="center"/>
          </w:tcPr>
          <w:p w:rsidR="00E53F57" w:rsidRPr="00FF17EC" w:rsidRDefault="00E53F57" w:rsidP="00A031AE">
            <w:pPr>
              <w:spacing w:after="0" w:line="240" w:lineRule="auto"/>
              <w:jc w:val="left"/>
              <w:rPr>
                <w:lang w:eastAsia="it-IT"/>
              </w:rPr>
            </w:pPr>
            <w:r w:rsidRPr="00FF17EC">
              <w:rPr>
                <w:lang w:eastAsia="it-IT"/>
              </w:rPr>
              <w:t>Portile de Fier Natural Parc</w:t>
            </w:r>
          </w:p>
          <w:p w:rsidR="00E53F57" w:rsidRPr="00FF17EC" w:rsidRDefault="00E53F57" w:rsidP="00A031AE">
            <w:pPr>
              <w:spacing w:after="0" w:line="240" w:lineRule="auto"/>
              <w:jc w:val="left"/>
              <w:rPr>
                <w:lang w:eastAsia="it-IT"/>
              </w:rPr>
            </w:pPr>
            <w:r w:rsidRPr="00FF17EC">
              <w:rPr>
                <w:lang w:eastAsia="it-IT"/>
              </w:rPr>
              <w:t>Geoparcul Platoul Mehedinti Natural Park</w:t>
            </w:r>
          </w:p>
          <w:p w:rsidR="00E53F57" w:rsidRPr="00FF17EC" w:rsidRDefault="00E53F57" w:rsidP="00A031AE">
            <w:pPr>
              <w:spacing w:after="0" w:line="240" w:lineRule="auto"/>
              <w:jc w:val="left"/>
              <w:rPr>
                <w:lang w:eastAsia="it-IT"/>
              </w:rPr>
            </w:pPr>
            <w:r w:rsidRPr="00FF17EC">
              <w:rPr>
                <w:lang w:eastAsia="it-IT"/>
              </w:rPr>
              <w:t>Domogled – Valea Cernei Natural Park</w:t>
            </w:r>
          </w:p>
          <w:p w:rsidR="00E53F57" w:rsidRPr="00FF17EC" w:rsidRDefault="00E53F57" w:rsidP="00A031AE">
            <w:pPr>
              <w:spacing w:after="0" w:line="240" w:lineRule="auto"/>
              <w:jc w:val="left"/>
              <w:rPr>
                <w:lang w:eastAsia="it-IT"/>
              </w:rPr>
            </w:pPr>
            <w:r w:rsidRPr="00FF17EC">
              <w:rPr>
                <w:lang w:eastAsia="it-IT"/>
              </w:rPr>
              <w:t xml:space="preserve"> Cornetul Baltii Reserve</w:t>
            </w:r>
          </w:p>
          <w:p w:rsidR="00E53F57" w:rsidRPr="00FF17EC" w:rsidRDefault="00E53F57" w:rsidP="00A031AE">
            <w:pPr>
              <w:spacing w:after="0" w:line="240" w:lineRule="auto"/>
              <w:jc w:val="left"/>
              <w:rPr>
                <w:lang w:eastAsia="it-IT"/>
              </w:rPr>
            </w:pPr>
            <w:r w:rsidRPr="00FF17EC">
              <w:rPr>
                <w:lang w:eastAsia="it-IT"/>
              </w:rPr>
              <w:t>Cornetul Babelor si Cerboanei Reserve</w:t>
            </w:r>
          </w:p>
        </w:tc>
        <w:tc>
          <w:tcPr>
            <w:tcW w:w="4252" w:type="dxa"/>
            <w:vAlign w:val="center"/>
          </w:tcPr>
          <w:p w:rsidR="00E53F57" w:rsidRPr="00FF17EC" w:rsidRDefault="00E53F57" w:rsidP="00A031AE">
            <w:pPr>
              <w:spacing w:after="0" w:line="240" w:lineRule="auto"/>
              <w:jc w:val="left"/>
              <w:rPr>
                <w:lang w:eastAsia="it-IT"/>
              </w:rPr>
            </w:pPr>
            <w:r w:rsidRPr="00FF17EC">
              <w:rPr>
                <w:lang w:eastAsia="it-IT"/>
              </w:rPr>
              <w:t>Towns of Drobeta and Orșova</w:t>
            </w:r>
          </w:p>
          <w:p w:rsidR="00E53F57" w:rsidRPr="00FF17EC" w:rsidRDefault="00E53F57" w:rsidP="00A031AE">
            <w:pPr>
              <w:spacing w:after="0" w:line="240" w:lineRule="auto"/>
              <w:jc w:val="left"/>
              <w:rPr>
                <w:lang w:eastAsia="it-IT"/>
              </w:rPr>
            </w:pPr>
            <w:r w:rsidRPr="00FF17EC">
              <w:rPr>
                <w:lang w:eastAsia="it-IT"/>
              </w:rPr>
              <w:t>Drobeta Castrum</w:t>
            </w:r>
          </w:p>
          <w:p w:rsidR="00E53F57" w:rsidRPr="00FF17EC" w:rsidRDefault="00E53F57" w:rsidP="00A031AE">
            <w:pPr>
              <w:spacing w:after="0" w:line="240" w:lineRule="auto"/>
              <w:jc w:val="left"/>
              <w:rPr>
                <w:lang w:eastAsia="it-IT"/>
              </w:rPr>
            </w:pPr>
            <w:r w:rsidRPr="00FF17EC">
              <w:rPr>
                <w:lang w:eastAsia="it-IT"/>
              </w:rPr>
              <w:t>Drobeta Castelul de Apa (Water Castle)</w:t>
            </w:r>
          </w:p>
          <w:p w:rsidR="00E53F57" w:rsidRPr="00FF17EC" w:rsidRDefault="00E53F57" w:rsidP="00A031AE">
            <w:pPr>
              <w:spacing w:after="0" w:line="240" w:lineRule="auto"/>
              <w:jc w:val="left"/>
              <w:rPr>
                <w:lang w:eastAsia="it-IT"/>
              </w:rPr>
            </w:pPr>
            <w:r w:rsidRPr="00FF17EC">
              <w:rPr>
                <w:lang w:eastAsia="it-IT"/>
              </w:rPr>
              <w:t>Remains of Podul lui Traian (Apollodorus Bridge)</w:t>
            </w:r>
          </w:p>
          <w:p w:rsidR="00E53F57" w:rsidRPr="00FF17EC" w:rsidRDefault="00E53F57" w:rsidP="00A031AE">
            <w:pPr>
              <w:spacing w:after="0" w:line="240" w:lineRule="auto"/>
              <w:jc w:val="left"/>
              <w:rPr>
                <w:lang w:eastAsia="it-IT"/>
              </w:rPr>
            </w:pPr>
            <w:r w:rsidRPr="00FF17EC">
              <w:rPr>
                <w:lang w:eastAsia="it-IT"/>
              </w:rPr>
              <w:t xml:space="preserve">Monastery of Baia de Aramă </w:t>
            </w:r>
          </w:p>
        </w:tc>
      </w:tr>
      <w:tr w:rsidR="007E1D53" w:rsidRPr="00FF17EC" w:rsidTr="00393059">
        <w:tc>
          <w:tcPr>
            <w:tcW w:w="1188" w:type="dxa"/>
            <w:vMerge w:val="restart"/>
            <w:vAlign w:val="center"/>
          </w:tcPr>
          <w:p w:rsidR="007E1D53" w:rsidRPr="00FF17EC" w:rsidRDefault="007E1D53" w:rsidP="00A031AE">
            <w:pPr>
              <w:spacing w:after="0" w:line="240" w:lineRule="auto"/>
              <w:jc w:val="left"/>
              <w:rPr>
                <w:lang w:eastAsia="it-IT"/>
              </w:rPr>
            </w:pPr>
            <w:r w:rsidRPr="00FF17EC">
              <w:rPr>
                <w:lang w:eastAsia="it-IT"/>
              </w:rPr>
              <w:t>Serbia</w:t>
            </w:r>
          </w:p>
        </w:tc>
        <w:tc>
          <w:tcPr>
            <w:tcW w:w="1188" w:type="dxa"/>
            <w:vAlign w:val="center"/>
          </w:tcPr>
          <w:p w:rsidR="007E1D53" w:rsidRPr="00FF17EC" w:rsidRDefault="007E1D53" w:rsidP="00A031AE">
            <w:pPr>
              <w:pStyle w:val="BodyText"/>
              <w:spacing w:after="0" w:line="240" w:lineRule="auto"/>
              <w:jc w:val="left"/>
              <w:rPr>
                <w:b w:val="0"/>
              </w:rPr>
            </w:pPr>
            <w:r w:rsidRPr="00FF17EC">
              <w:rPr>
                <w:b w:val="0"/>
              </w:rPr>
              <w:t>Severno-Banatski</w:t>
            </w:r>
          </w:p>
        </w:tc>
        <w:tc>
          <w:tcPr>
            <w:tcW w:w="3261" w:type="dxa"/>
            <w:vAlign w:val="center"/>
          </w:tcPr>
          <w:p w:rsidR="007E1D53" w:rsidRPr="00FF17EC" w:rsidRDefault="007E1D53" w:rsidP="00A031AE">
            <w:pPr>
              <w:pStyle w:val="BodyText"/>
              <w:spacing w:after="0" w:line="240" w:lineRule="auto"/>
              <w:jc w:val="left"/>
              <w:rPr>
                <w:b w:val="0"/>
              </w:rPr>
            </w:pPr>
            <w:r w:rsidRPr="00FF17EC">
              <w:rPr>
                <w:b w:val="0"/>
              </w:rPr>
              <w:t>Great Bustard Pastures</w:t>
            </w:r>
          </w:p>
        </w:tc>
        <w:tc>
          <w:tcPr>
            <w:tcW w:w="4252" w:type="dxa"/>
            <w:vAlign w:val="center"/>
          </w:tcPr>
          <w:p w:rsidR="007E1D53" w:rsidRPr="00FF17EC" w:rsidRDefault="007E1D53" w:rsidP="00A031AE">
            <w:pPr>
              <w:pStyle w:val="BodyText"/>
              <w:spacing w:after="0" w:line="240" w:lineRule="auto"/>
              <w:jc w:val="left"/>
              <w:rPr>
                <w:b w:val="0"/>
              </w:rPr>
            </w:pPr>
            <w:r w:rsidRPr="00FF17EC">
              <w:rPr>
                <w:b w:val="0"/>
              </w:rPr>
              <w:t>“Kika” mammoth in Kikinda;</w:t>
            </w:r>
            <w:r w:rsidRPr="00FF17EC">
              <w:rPr>
                <w:b w:val="0"/>
              </w:rPr>
              <w:br/>
              <w:t>The Treadmill or “Suvaca” – mill that works on horse power, form the mid 19</w:t>
            </w:r>
            <w:r w:rsidRPr="00FF17EC">
              <w:rPr>
                <w:b w:val="0"/>
                <w:vertAlign w:val="superscript"/>
              </w:rPr>
              <w:t>th</w:t>
            </w:r>
            <w:r w:rsidRPr="00FF17EC">
              <w:rPr>
                <w:b w:val="0"/>
              </w:rPr>
              <w:t xml:space="preserve"> century; one of the only two left in Europe;</w:t>
            </w:r>
            <w:r w:rsidRPr="00FF17EC">
              <w:rPr>
                <w:rStyle w:val="FootnoteReference"/>
              </w:rPr>
              <w:footnoteReference w:id="38"/>
            </w:r>
          </w:p>
          <w:p w:rsidR="007E1D53" w:rsidRPr="00FF17EC" w:rsidRDefault="007E1D53" w:rsidP="00A031AE">
            <w:pPr>
              <w:pStyle w:val="BodyText"/>
              <w:spacing w:after="0" w:line="240" w:lineRule="auto"/>
              <w:jc w:val="left"/>
              <w:rPr>
                <w:b w:val="0"/>
              </w:rPr>
            </w:pPr>
            <w:r w:rsidRPr="00FF17EC">
              <w:rPr>
                <w:b w:val="0"/>
              </w:rPr>
              <w:t>- The special nature reserves „Karadjordjevo“</w:t>
            </w:r>
            <w:r w:rsidRPr="00FF17EC">
              <w:rPr>
                <w:rStyle w:val="FootnoteReference"/>
              </w:rPr>
              <w:footnoteReference w:id="39"/>
            </w:r>
          </w:p>
        </w:tc>
      </w:tr>
      <w:tr w:rsidR="007E1D53" w:rsidRPr="00FF17EC" w:rsidTr="00393059">
        <w:tc>
          <w:tcPr>
            <w:tcW w:w="1188" w:type="dxa"/>
            <w:vMerge/>
            <w:vAlign w:val="center"/>
          </w:tcPr>
          <w:p w:rsidR="007E1D53" w:rsidRPr="00FF17EC" w:rsidRDefault="007E1D53" w:rsidP="00A031AE">
            <w:pPr>
              <w:spacing w:after="0" w:line="240" w:lineRule="auto"/>
              <w:jc w:val="left"/>
              <w:rPr>
                <w:lang w:eastAsia="it-IT"/>
              </w:rPr>
            </w:pPr>
          </w:p>
        </w:tc>
        <w:tc>
          <w:tcPr>
            <w:tcW w:w="1188" w:type="dxa"/>
            <w:vAlign w:val="center"/>
          </w:tcPr>
          <w:p w:rsidR="007E1D53" w:rsidRPr="00FF17EC" w:rsidRDefault="007E1D53" w:rsidP="00A031AE">
            <w:pPr>
              <w:pStyle w:val="BodyText"/>
              <w:spacing w:after="0" w:line="240" w:lineRule="auto"/>
              <w:jc w:val="left"/>
              <w:rPr>
                <w:b w:val="0"/>
              </w:rPr>
            </w:pPr>
            <w:r w:rsidRPr="00FF17EC">
              <w:rPr>
                <w:b w:val="0"/>
              </w:rPr>
              <w:t>Srednje-Banatski</w:t>
            </w:r>
          </w:p>
        </w:tc>
        <w:tc>
          <w:tcPr>
            <w:tcW w:w="3261" w:type="dxa"/>
            <w:vAlign w:val="center"/>
          </w:tcPr>
          <w:p w:rsidR="007E1D53" w:rsidRPr="00FF17EC" w:rsidRDefault="007E1D53" w:rsidP="00A031AE">
            <w:pPr>
              <w:pStyle w:val="BodyText"/>
              <w:spacing w:after="0" w:line="240" w:lineRule="auto"/>
              <w:jc w:val="left"/>
              <w:rPr>
                <w:b w:val="0"/>
              </w:rPr>
            </w:pPr>
            <w:r w:rsidRPr="00FF17EC">
              <w:rPr>
                <w:b w:val="0"/>
              </w:rPr>
              <w:t>Slano Kopovo salt marshes, Rusanda Wetlands, Special Nature Reserve Stari Begej-Carska Bara</w:t>
            </w:r>
          </w:p>
        </w:tc>
        <w:tc>
          <w:tcPr>
            <w:tcW w:w="4252" w:type="dxa"/>
            <w:vAlign w:val="center"/>
          </w:tcPr>
          <w:p w:rsidR="007E1D53" w:rsidRPr="00FF17EC" w:rsidRDefault="007E1D53" w:rsidP="00A031AE">
            <w:pPr>
              <w:pStyle w:val="BodyText"/>
              <w:spacing w:after="0" w:line="240" w:lineRule="auto"/>
              <w:jc w:val="left"/>
              <w:rPr>
                <w:b w:val="0"/>
              </w:rPr>
            </w:pPr>
            <w:r w:rsidRPr="00FF17EC">
              <w:rPr>
                <w:b w:val="0"/>
              </w:rPr>
              <w:t>Dundjerski (Fantast) Castle, near Bečej</w:t>
            </w:r>
          </w:p>
          <w:p w:rsidR="007E1D53" w:rsidRPr="00FF17EC" w:rsidRDefault="007E1D53" w:rsidP="00A031AE">
            <w:pPr>
              <w:pStyle w:val="BodyText"/>
              <w:spacing w:after="0" w:line="240" w:lineRule="auto"/>
              <w:jc w:val="left"/>
              <w:rPr>
                <w:b w:val="0"/>
              </w:rPr>
            </w:pPr>
            <w:r w:rsidRPr="00FF17EC">
              <w:rPr>
                <w:b w:val="0"/>
              </w:rPr>
              <w:t>Ecka Castle, near the city of Zrenjanin, Zrenjanin National Museum</w:t>
            </w:r>
          </w:p>
        </w:tc>
      </w:tr>
      <w:tr w:rsidR="007E1D53" w:rsidRPr="00FF17EC" w:rsidTr="00393059">
        <w:tc>
          <w:tcPr>
            <w:tcW w:w="1188" w:type="dxa"/>
            <w:vMerge/>
            <w:vAlign w:val="center"/>
          </w:tcPr>
          <w:p w:rsidR="007E1D53" w:rsidRPr="00FF17EC" w:rsidRDefault="007E1D53" w:rsidP="00A031AE">
            <w:pPr>
              <w:spacing w:after="0" w:line="240" w:lineRule="auto"/>
              <w:jc w:val="left"/>
              <w:rPr>
                <w:lang w:eastAsia="it-IT"/>
              </w:rPr>
            </w:pPr>
          </w:p>
        </w:tc>
        <w:tc>
          <w:tcPr>
            <w:tcW w:w="1188" w:type="dxa"/>
            <w:vAlign w:val="center"/>
          </w:tcPr>
          <w:p w:rsidR="007E1D53" w:rsidRPr="00FF17EC" w:rsidRDefault="007E1D53" w:rsidP="00A031AE">
            <w:pPr>
              <w:pStyle w:val="BodyText"/>
              <w:spacing w:after="0" w:line="240" w:lineRule="auto"/>
              <w:jc w:val="left"/>
              <w:rPr>
                <w:b w:val="0"/>
              </w:rPr>
            </w:pPr>
            <w:r w:rsidRPr="00FF17EC">
              <w:rPr>
                <w:b w:val="0"/>
              </w:rPr>
              <w:t>Južno-Banatski</w:t>
            </w:r>
          </w:p>
        </w:tc>
        <w:tc>
          <w:tcPr>
            <w:tcW w:w="3261" w:type="dxa"/>
            <w:vAlign w:val="center"/>
          </w:tcPr>
          <w:p w:rsidR="007E1D53" w:rsidRPr="00FF17EC" w:rsidRDefault="007E1D53" w:rsidP="00A031AE">
            <w:pPr>
              <w:pStyle w:val="BodyText"/>
              <w:spacing w:after="0" w:line="240" w:lineRule="auto"/>
              <w:jc w:val="left"/>
              <w:rPr>
                <w:b w:val="0"/>
              </w:rPr>
            </w:pPr>
            <w:r w:rsidRPr="00FF17EC">
              <w:rPr>
                <w:b w:val="0"/>
              </w:rPr>
              <w:t xml:space="preserve">Sokolac Park, Nature parks Ponjavica, Deliblatska </w:t>
            </w:r>
            <w:r w:rsidRPr="00FF17EC">
              <w:rPr>
                <w:b w:val="0"/>
              </w:rPr>
              <w:lastRenderedPageBreak/>
              <w:t>peščara, Vršačke planine, Uzdinska forest and Hajdučki park</w:t>
            </w:r>
          </w:p>
        </w:tc>
        <w:tc>
          <w:tcPr>
            <w:tcW w:w="4252" w:type="dxa"/>
            <w:vAlign w:val="center"/>
          </w:tcPr>
          <w:p w:rsidR="007E1D53" w:rsidRPr="00FF17EC" w:rsidRDefault="007E1D53" w:rsidP="00A031AE">
            <w:pPr>
              <w:spacing w:after="0" w:line="240" w:lineRule="auto"/>
              <w:jc w:val="left"/>
            </w:pPr>
            <w:r w:rsidRPr="00FF17EC">
              <w:lastRenderedPageBreak/>
              <w:t>Vršac Castle and town</w:t>
            </w:r>
          </w:p>
          <w:p w:rsidR="007E1D53" w:rsidRPr="00FF17EC" w:rsidRDefault="007E1D53" w:rsidP="00A031AE">
            <w:pPr>
              <w:spacing w:after="0" w:line="240" w:lineRule="auto"/>
              <w:jc w:val="left"/>
              <w:rPr>
                <w:b/>
              </w:rPr>
            </w:pPr>
            <w:r w:rsidRPr="00FF17EC">
              <w:t xml:space="preserve">Mesić Monastery </w:t>
            </w:r>
          </w:p>
        </w:tc>
      </w:tr>
      <w:tr w:rsidR="007E1D53" w:rsidRPr="00FF17EC" w:rsidTr="00393059">
        <w:tc>
          <w:tcPr>
            <w:tcW w:w="1188" w:type="dxa"/>
            <w:vMerge/>
            <w:vAlign w:val="center"/>
          </w:tcPr>
          <w:p w:rsidR="007E1D53" w:rsidRPr="00FF17EC" w:rsidRDefault="007E1D53" w:rsidP="00A031AE">
            <w:pPr>
              <w:spacing w:after="0" w:line="240" w:lineRule="auto"/>
              <w:jc w:val="left"/>
              <w:rPr>
                <w:lang w:eastAsia="it-IT"/>
              </w:rPr>
            </w:pPr>
          </w:p>
        </w:tc>
        <w:tc>
          <w:tcPr>
            <w:tcW w:w="1188" w:type="dxa"/>
            <w:vAlign w:val="center"/>
          </w:tcPr>
          <w:p w:rsidR="007E1D53" w:rsidRPr="00FF17EC" w:rsidRDefault="007E1D53" w:rsidP="00A031AE">
            <w:pPr>
              <w:pStyle w:val="BodyText"/>
              <w:spacing w:after="0" w:line="240" w:lineRule="auto"/>
              <w:jc w:val="left"/>
              <w:rPr>
                <w:b w:val="0"/>
              </w:rPr>
            </w:pPr>
            <w:r w:rsidRPr="00FF17EC">
              <w:rPr>
                <w:b w:val="0"/>
              </w:rPr>
              <w:t>Brani</w:t>
            </w:r>
            <w:r w:rsidR="008C403B" w:rsidRPr="00FF17EC">
              <w:rPr>
                <w:b w:val="0"/>
              </w:rPr>
              <w:t>-</w:t>
            </w:r>
            <w:r w:rsidRPr="00FF17EC">
              <w:rPr>
                <w:b w:val="0"/>
              </w:rPr>
              <w:t>čevski</w:t>
            </w:r>
          </w:p>
        </w:tc>
        <w:tc>
          <w:tcPr>
            <w:tcW w:w="3261" w:type="dxa"/>
            <w:vAlign w:val="center"/>
          </w:tcPr>
          <w:p w:rsidR="007E1D53" w:rsidRPr="00FF17EC" w:rsidRDefault="007E1D53" w:rsidP="00A031AE">
            <w:pPr>
              <w:pStyle w:val="BodyText"/>
              <w:spacing w:after="0" w:line="240" w:lineRule="auto"/>
              <w:jc w:val="left"/>
              <w:rPr>
                <w:b w:val="0"/>
              </w:rPr>
            </w:pPr>
            <w:r w:rsidRPr="00FF17EC">
              <w:rPr>
                <w:b w:val="0"/>
              </w:rPr>
              <w:t>Đerdap National Park including an UNESCO protected area, Deli Jovan mt., Kučajske mts. and Radujevac in Braničevski District</w:t>
            </w:r>
          </w:p>
        </w:tc>
        <w:tc>
          <w:tcPr>
            <w:tcW w:w="4252" w:type="dxa"/>
            <w:vAlign w:val="center"/>
          </w:tcPr>
          <w:p w:rsidR="007E1D53" w:rsidRPr="00FF17EC" w:rsidRDefault="007E1D53" w:rsidP="00A031AE">
            <w:pPr>
              <w:pStyle w:val="BodyText"/>
              <w:spacing w:after="0" w:line="240" w:lineRule="auto"/>
              <w:jc w:val="left"/>
              <w:rPr>
                <w:b w:val="0"/>
              </w:rPr>
            </w:pPr>
            <w:r w:rsidRPr="00FF17EC">
              <w:rPr>
                <w:b w:val="0"/>
              </w:rPr>
              <w:t>Town of Požarevac</w:t>
            </w:r>
          </w:p>
        </w:tc>
      </w:tr>
      <w:tr w:rsidR="007E1D53" w:rsidRPr="00FF17EC" w:rsidTr="00393059">
        <w:trPr>
          <w:trHeight w:val="2686"/>
        </w:trPr>
        <w:tc>
          <w:tcPr>
            <w:tcW w:w="1188" w:type="dxa"/>
            <w:vMerge/>
            <w:vAlign w:val="center"/>
          </w:tcPr>
          <w:p w:rsidR="007E1D53" w:rsidRPr="00FF17EC" w:rsidRDefault="007E1D53" w:rsidP="00A031AE">
            <w:pPr>
              <w:spacing w:after="0" w:line="240" w:lineRule="auto"/>
              <w:jc w:val="left"/>
              <w:rPr>
                <w:lang w:eastAsia="it-IT"/>
              </w:rPr>
            </w:pPr>
          </w:p>
        </w:tc>
        <w:tc>
          <w:tcPr>
            <w:tcW w:w="1188" w:type="dxa"/>
            <w:vAlign w:val="center"/>
          </w:tcPr>
          <w:p w:rsidR="007E1D53" w:rsidRPr="00FF17EC" w:rsidRDefault="007E1D53" w:rsidP="00A031AE">
            <w:pPr>
              <w:pStyle w:val="BodyText"/>
              <w:spacing w:after="0" w:line="240" w:lineRule="auto"/>
              <w:jc w:val="left"/>
              <w:rPr>
                <w:b w:val="0"/>
              </w:rPr>
            </w:pPr>
            <w:r w:rsidRPr="00FF17EC">
              <w:rPr>
                <w:b w:val="0"/>
              </w:rPr>
              <w:t>Borski</w:t>
            </w:r>
          </w:p>
          <w:p w:rsidR="007E1D53" w:rsidRPr="00FF17EC" w:rsidRDefault="007E1D53" w:rsidP="00A031AE">
            <w:pPr>
              <w:pStyle w:val="BodyText"/>
              <w:spacing w:after="0" w:line="240" w:lineRule="auto"/>
              <w:jc w:val="left"/>
              <w:rPr>
                <w:b w:val="0"/>
              </w:rPr>
            </w:pPr>
          </w:p>
        </w:tc>
        <w:tc>
          <w:tcPr>
            <w:tcW w:w="3261" w:type="dxa"/>
            <w:vAlign w:val="center"/>
          </w:tcPr>
          <w:p w:rsidR="007E1D53" w:rsidRPr="00FF17EC" w:rsidRDefault="007E1D53" w:rsidP="00A031AE">
            <w:pPr>
              <w:pStyle w:val="BodyText"/>
              <w:tabs>
                <w:tab w:val="right" w:pos="2619"/>
              </w:tabs>
              <w:spacing w:after="0" w:line="240" w:lineRule="auto"/>
              <w:jc w:val="left"/>
              <w:rPr>
                <w:b w:val="0"/>
              </w:rPr>
            </w:pPr>
            <w:r w:rsidRPr="00FF17EC">
              <w:rPr>
                <w:b w:val="0"/>
              </w:rPr>
              <w:t>Lazarev kanjon Natural Monument</w:t>
            </w:r>
            <w:r w:rsidRPr="00FF17EC">
              <w:rPr>
                <w:b w:val="0"/>
              </w:rPr>
              <w:tab/>
            </w:r>
          </w:p>
          <w:p w:rsidR="007E1D53" w:rsidRPr="00FF17EC" w:rsidRDefault="007E1D53" w:rsidP="00A031AE">
            <w:pPr>
              <w:pStyle w:val="BodyText"/>
              <w:spacing w:after="0" w:line="240" w:lineRule="auto"/>
              <w:jc w:val="left"/>
              <w:rPr>
                <w:b w:val="0"/>
              </w:rPr>
            </w:pPr>
          </w:p>
        </w:tc>
        <w:tc>
          <w:tcPr>
            <w:tcW w:w="4252" w:type="dxa"/>
            <w:vAlign w:val="center"/>
          </w:tcPr>
          <w:p w:rsidR="007E1D53" w:rsidRPr="00FF17EC" w:rsidRDefault="007E1D53" w:rsidP="00A031AE">
            <w:pPr>
              <w:pStyle w:val="BodyText"/>
              <w:tabs>
                <w:tab w:val="right" w:pos="2619"/>
              </w:tabs>
              <w:spacing w:after="0" w:line="240" w:lineRule="auto"/>
              <w:jc w:val="left"/>
              <w:rPr>
                <w:b w:val="0"/>
              </w:rPr>
            </w:pPr>
            <w:r w:rsidRPr="00FF17EC">
              <w:rPr>
                <w:b w:val="0"/>
              </w:rPr>
              <w:t>- Kladovo Fortress</w:t>
            </w:r>
            <w:r w:rsidRPr="00FF17EC">
              <w:rPr>
                <w:rStyle w:val="FootnoteReference"/>
              </w:rPr>
              <w:footnoteReference w:id="40"/>
            </w:r>
          </w:p>
          <w:p w:rsidR="007E1D53" w:rsidRPr="00FF17EC" w:rsidRDefault="007E1D53" w:rsidP="00A031AE">
            <w:pPr>
              <w:spacing w:after="0" w:line="240" w:lineRule="auto"/>
              <w:jc w:val="left"/>
            </w:pPr>
            <w:r w:rsidRPr="00FF17EC">
              <w:t>and the Trajan’s Tabula and the Canal</w:t>
            </w:r>
            <w:r w:rsidRPr="00FF17EC">
              <w:rPr>
                <w:rStyle w:val="FootnoteReference"/>
              </w:rPr>
              <w:footnoteReference w:id="41"/>
            </w:r>
          </w:p>
          <w:p w:rsidR="007E1D53" w:rsidRPr="00FF17EC" w:rsidRDefault="007E1D53" w:rsidP="00A031AE">
            <w:pPr>
              <w:pStyle w:val="BodyText"/>
              <w:spacing w:after="0" w:line="240" w:lineRule="auto"/>
              <w:jc w:val="left"/>
              <w:rPr>
                <w:b w:val="0"/>
              </w:rPr>
            </w:pPr>
            <w:r w:rsidRPr="00FF17EC">
              <w:rPr>
                <w:b w:val="0"/>
              </w:rPr>
              <w:t>Negotinske (Rajačke, Rogljevačke) pivnice.</w:t>
            </w:r>
            <w:r w:rsidRPr="00FF17EC">
              <w:rPr>
                <w:rStyle w:val="FootnoteReference"/>
              </w:rPr>
              <w:footnoteReference w:id="42"/>
            </w:r>
          </w:p>
          <w:p w:rsidR="007E1D53" w:rsidRPr="00FF17EC" w:rsidRDefault="007E1D53" w:rsidP="00A031AE">
            <w:pPr>
              <w:pStyle w:val="BodyText"/>
              <w:spacing w:after="0" w:line="240" w:lineRule="auto"/>
              <w:jc w:val="left"/>
              <w:rPr>
                <w:b w:val="0"/>
              </w:rPr>
            </w:pPr>
            <w:r w:rsidRPr="00FF17EC">
              <w:rPr>
                <w:b w:val="0"/>
              </w:rPr>
              <w:t>- Archeological site „Lepenski vir“ – near Donji Milanovac</w:t>
            </w:r>
          </w:p>
        </w:tc>
      </w:tr>
      <w:tr w:rsidR="007E1D53" w:rsidRPr="00FF17EC" w:rsidTr="008C403B">
        <w:trPr>
          <w:trHeight w:val="2686"/>
        </w:trPr>
        <w:tc>
          <w:tcPr>
            <w:tcW w:w="1188" w:type="dxa"/>
            <w:vMerge/>
            <w:vAlign w:val="center"/>
          </w:tcPr>
          <w:p w:rsidR="007E1D53" w:rsidRPr="00FF17EC" w:rsidRDefault="007E1D53" w:rsidP="00A031AE">
            <w:pPr>
              <w:spacing w:after="0" w:line="240" w:lineRule="auto"/>
              <w:jc w:val="left"/>
              <w:rPr>
                <w:lang w:eastAsia="it-IT"/>
              </w:rPr>
            </w:pPr>
          </w:p>
        </w:tc>
        <w:tc>
          <w:tcPr>
            <w:tcW w:w="1188" w:type="dxa"/>
            <w:vAlign w:val="center"/>
          </w:tcPr>
          <w:p w:rsidR="007E1D53" w:rsidRPr="00FF17EC" w:rsidRDefault="007E1D53" w:rsidP="008C403B">
            <w:pPr>
              <w:pStyle w:val="BodyText"/>
              <w:spacing w:after="0" w:line="240" w:lineRule="auto"/>
              <w:jc w:val="left"/>
              <w:rPr>
                <w:b w:val="0"/>
              </w:rPr>
            </w:pPr>
            <w:r w:rsidRPr="00FF17EC">
              <w:rPr>
                <w:b w:val="0"/>
              </w:rPr>
              <w:t>Podu</w:t>
            </w:r>
            <w:r w:rsidR="008C403B" w:rsidRPr="00FF17EC">
              <w:rPr>
                <w:b w:val="0"/>
              </w:rPr>
              <w:t>-</w:t>
            </w:r>
            <w:r w:rsidRPr="00FF17EC">
              <w:rPr>
                <w:b w:val="0"/>
              </w:rPr>
              <w:t>navski</w:t>
            </w:r>
          </w:p>
        </w:tc>
        <w:tc>
          <w:tcPr>
            <w:tcW w:w="3261" w:type="dxa"/>
            <w:vAlign w:val="center"/>
          </w:tcPr>
          <w:p w:rsidR="007E1D53" w:rsidRPr="00FF17EC" w:rsidRDefault="007E1D53" w:rsidP="008C403B">
            <w:pPr>
              <w:pStyle w:val="BodyText"/>
              <w:spacing w:after="0" w:line="240" w:lineRule="auto"/>
              <w:jc w:val="left"/>
              <w:rPr>
                <w:b w:val="0"/>
              </w:rPr>
            </w:pPr>
            <w:r w:rsidRPr="00FF17EC">
              <w:rPr>
                <w:b w:val="0"/>
              </w:rPr>
              <w:t>Gornje Podunavlje</w:t>
            </w:r>
          </w:p>
        </w:tc>
        <w:tc>
          <w:tcPr>
            <w:tcW w:w="4252" w:type="dxa"/>
            <w:vAlign w:val="center"/>
          </w:tcPr>
          <w:p w:rsidR="007E1D53" w:rsidRPr="00FF17EC" w:rsidRDefault="007E1D53" w:rsidP="008C403B">
            <w:pPr>
              <w:spacing w:after="0" w:line="240" w:lineRule="auto"/>
              <w:jc w:val="left"/>
            </w:pPr>
            <w:r w:rsidRPr="00FF17EC">
              <w:t>Smederevo Fortress, largest medieval fortification in South East Europe, included in the tentative list of the UNESCO World Heritage List</w:t>
            </w:r>
          </w:p>
        </w:tc>
      </w:tr>
    </w:tbl>
    <w:p w:rsidR="00E53F57" w:rsidRPr="00FF17EC" w:rsidRDefault="00393059" w:rsidP="00393059">
      <w:pPr>
        <w:pStyle w:val="Caption"/>
        <w:rPr>
          <w:lang w:eastAsia="it-IT"/>
        </w:rPr>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8</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2</w:t>
      </w:r>
      <w:r w:rsidR="00085686" w:rsidRPr="00FF17EC">
        <w:rPr>
          <w:noProof/>
        </w:rPr>
        <w:fldChar w:fldCharType="end"/>
      </w:r>
      <w:r w:rsidRPr="00FF17EC">
        <w:t xml:space="preserve"> Main attractions</w:t>
      </w:r>
    </w:p>
    <w:p w:rsidR="00E53F57" w:rsidRPr="00FF17EC" w:rsidRDefault="00E53F57" w:rsidP="00E53F57"/>
    <w:p w:rsidR="00393059" w:rsidRPr="00FF17EC" w:rsidRDefault="00393059" w:rsidP="00E53F57">
      <w:pPr>
        <w:sectPr w:rsidR="00393059" w:rsidRPr="00FF17EC" w:rsidSect="00015F7F">
          <w:pgSz w:w="12240" w:h="15840"/>
          <w:pgMar w:top="1843" w:right="1418" w:bottom="1701" w:left="1418" w:header="709" w:footer="0" w:gutter="0"/>
          <w:cols w:space="708"/>
          <w:noEndnote/>
          <w:docGrid w:linePitch="299"/>
        </w:sectPr>
      </w:pPr>
    </w:p>
    <w:p w:rsidR="00A62261" w:rsidRPr="00FF17EC" w:rsidRDefault="00E53F57" w:rsidP="00A62261">
      <w:pPr>
        <w:pStyle w:val="Heading2"/>
      </w:pPr>
      <w:bookmarkStart w:id="91" w:name="_Toc383415721"/>
      <w:bookmarkStart w:id="92" w:name="_Toc383162915"/>
      <w:bookmarkStart w:id="93" w:name="_Toc383367985"/>
      <w:r w:rsidRPr="00FF17EC">
        <w:lastRenderedPageBreak/>
        <w:t xml:space="preserve">Environmental </w:t>
      </w:r>
      <w:r w:rsidR="00BB1745" w:rsidRPr="00FF17EC">
        <w:t xml:space="preserve">protection, water </w:t>
      </w:r>
      <w:r w:rsidR="008C403B" w:rsidRPr="00FF17EC">
        <w:t>and Water</w:t>
      </w:r>
      <w:r w:rsidR="00BB1745" w:rsidRPr="00FF17EC">
        <w:t xml:space="preserve"> and waste management, public utilities</w:t>
      </w:r>
      <w:bookmarkEnd w:id="91"/>
    </w:p>
    <w:bookmarkEnd w:id="92"/>
    <w:bookmarkEnd w:id="93"/>
    <w:p w:rsidR="00E53F57" w:rsidRPr="00FF17EC" w:rsidRDefault="00E53F57" w:rsidP="00E53F57">
      <w:pPr>
        <w:rPr>
          <w:lang w:eastAsia="it-IT"/>
        </w:rPr>
      </w:pPr>
      <w:r w:rsidRPr="00FF17EC">
        <w:rPr>
          <w:lang w:eastAsia="it-IT"/>
        </w:rPr>
        <w:t>Public utilities infrastructure (water and sewage infrastructure) is on the path to improvement in the eligible border area as a whole</w:t>
      </w:r>
      <w:r w:rsidRPr="00FF17EC">
        <w:rPr>
          <w:rStyle w:val="FootnoteReference"/>
          <w:lang w:eastAsia="it-IT"/>
        </w:rPr>
        <w:footnoteReference w:id="43"/>
      </w:r>
      <w:r w:rsidRPr="00FF17EC">
        <w:rPr>
          <w:lang w:eastAsia="it-IT"/>
        </w:rPr>
        <w:t>. Water quality is measured across a number of measuring stations in the main rivers and the groundwater bodies, although their density decreases as moves from the north-west (from a monitoring station density of &lt;50 km</w:t>
      </w:r>
      <w:r w:rsidRPr="00FF17EC">
        <w:rPr>
          <w:vertAlign w:val="superscript"/>
          <w:lang w:eastAsia="it-IT"/>
        </w:rPr>
        <w:t>2</w:t>
      </w:r>
      <w:r w:rsidRPr="00FF17EC">
        <w:rPr>
          <w:lang w:eastAsia="it-IT"/>
        </w:rPr>
        <w:t>/station) to the south-east (density of &lt;200 km</w:t>
      </w:r>
      <w:r w:rsidRPr="00FF17EC">
        <w:rPr>
          <w:vertAlign w:val="superscript"/>
          <w:lang w:eastAsia="it-IT"/>
        </w:rPr>
        <w:t>2</w:t>
      </w:r>
      <w:r w:rsidRPr="00FF17EC">
        <w:rPr>
          <w:lang w:eastAsia="it-IT"/>
        </w:rPr>
        <w:t>/station), hence making the measurements especially for groundwater less reliable, although the overall status is considered to be qualitatively and quantitatively good</w:t>
      </w:r>
      <w:r w:rsidRPr="00FF17EC">
        <w:rPr>
          <w:rStyle w:val="FootnoteReference"/>
          <w:lang w:eastAsia="it-IT"/>
        </w:rPr>
        <w:footnoteReference w:id="44"/>
      </w:r>
      <w:r w:rsidRPr="00FF17EC">
        <w:rPr>
          <w:lang w:eastAsia="it-IT"/>
        </w:rPr>
        <w:t xml:space="preserve">. </w:t>
      </w:r>
    </w:p>
    <w:p w:rsidR="00E53F57" w:rsidRPr="00FF17EC" w:rsidRDefault="00E53F57" w:rsidP="00E53F57">
      <w:pPr>
        <w:rPr>
          <w:lang w:eastAsia="it-IT"/>
        </w:rPr>
      </w:pPr>
      <w:r w:rsidRPr="00FF17EC">
        <w:rPr>
          <w:lang w:eastAsia="it-IT"/>
        </w:rPr>
        <w:t xml:space="preserve">The overall situation of the rivers water is summarised below: </w:t>
      </w:r>
    </w:p>
    <w:tbl>
      <w:tblPr>
        <w:tblStyle w:val="TableGrid"/>
        <w:tblW w:w="0" w:type="auto"/>
        <w:tblLook w:val="04A0" w:firstRow="1" w:lastRow="0" w:firstColumn="1" w:lastColumn="0" w:noHBand="0" w:noVBand="1"/>
      </w:tblPr>
      <w:tblGrid>
        <w:gridCol w:w="1530"/>
        <w:gridCol w:w="1832"/>
        <w:gridCol w:w="1421"/>
        <w:gridCol w:w="1518"/>
        <w:gridCol w:w="1505"/>
        <w:gridCol w:w="1522"/>
      </w:tblGrid>
      <w:tr w:rsidR="00E53F57" w:rsidRPr="00FF17EC" w:rsidTr="00A031AE">
        <w:trPr>
          <w:tblHeader/>
        </w:trPr>
        <w:tc>
          <w:tcPr>
            <w:tcW w:w="1530" w:type="dxa"/>
            <w:shd w:val="clear" w:color="auto" w:fill="BFBFBF" w:themeFill="background1" w:themeFillShade="BF"/>
          </w:tcPr>
          <w:p w:rsidR="00E53F57" w:rsidRPr="00FF17EC" w:rsidRDefault="00E53F57" w:rsidP="00EF40E0">
            <w:pPr>
              <w:spacing w:after="0" w:line="240" w:lineRule="auto"/>
              <w:rPr>
                <w:b/>
                <w:lang w:eastAsia="it-IT"/>
              </w:rPr>
            </w:pPr>
            <w:r w:rsidRPr="00FF17EC">
              <w:rPr>
                <w:b/>
                <w:lang w:eastAsia="it-IT"/>
              </w:rPr>
              <w:t>River</w:t>
            </w:r>
          </w:p>
        </w:tc>
        <w:tc>
          <w:tcPr>
            <w:tcW w:w="1832" w:type="dxa"/>
            <w:shd w:val="clear" w:color="auto" w:fill="BFBFBF" w:themeFill="background1" w:themeFillShade="BF"/>
          </w:tcPr>
          <w:p w:rsidR="00E53F57" w:rsidRPr="00FF17EC" w:rsidRDefault="00E53F57" w:rsidP="00EF40E0">
            <w:pPr>
              <w:spacing w:after="0" w:line="240" w:lineRule="auto"/>
              <w:rPr>
                <w:b/>
                <w:lang w:eastAsia="it-IT"/>
              </w:rPr>
            </w:pPr>
            <w:r w:rsidRPr="00FF17EC">
              <w:rPr>
                <w:b/>
                <w:lang w:eastAsia="it-IT"/>
              </w:rPr>
              <w:t>Natural status</w:t>
            </w:r>
          </w:p>
        </w:tc>
        <w:tc>
          <w:tcPr>
            <w:tcW w:w="1421" w:type="dxa"/>
            <w:shd w:val="clear" w:color="auto" w:fill="BFBFBF" w:themeFill="background1" w:themeFillShade="BF"/>
          </w:tcPr>
          <w:p w:rsidR="00E53F57" w:rsidRPr="00FF17EC" w:rsidRDefault="00E53F57" w:rsidP="00EF40E0">
            <w:pPr>
              <w:spacing w:after="0" w:line="240" w:lineRule="auto"/>
              <w:rPr>
                <w:b/>
                <w:lang w:eastAsia="it-IT"/>
              </w:rPr>
            </w:pPr>
            <w:r w:rsidRPr="00FF17EC">
              <w:rPr>
                <w:b/>
                <w:lang w:eastAsia="it-IT"/>
              </w:rPr>
              <w:t>Ecological status and/or potential</w:t>
            </w:r>
          </w:p>
        </w:tc>
        <w:tc>
          <w:tcPr>
            <w:tcW w:w="1518" w:type="dxa"/>
            <w:shd w:val="clear" w:color="auto" w:fill="BFBFBF" w:themeFill="background1" w:themeFillShade="BF"/>
          </w:tcPr>
          <w:p w:rsidR="00E53F57" w:rsidRPr="00FF17EC" w:rsidRDefault="00E53F57" w:rsidP="00EF40E0">
            <w:pPr>
              <w:spacing w:after="0" w:line="240" w:lineRule="auto"/>
              <w:rPr>
                <w:b/>
                <w:lang w:eastAsia="it-IT"/>
              </w:rPr>
            </w:pPr>
            <w:r w:rsidRPr="00FF17EC">
              <w:rPr>
                <w:b/>
                <w:lang w:eastAsia="it-IT"/>
              </w:rPr>
              <w:t>Chemical status</w:t>
            </w:r>
          </w:p>
        </w:tc>
        <w:tc>
          <w:tcPr>
            <w:tcW w:w="1505" w:type="dxa"/>
            <w:shd w:val="clear" w:color="auto" w:fill="BFBFBF" w:themeFill="background1" w:themeFillShade="BF"/>
          </w:tcPr>
          <w:p w:rsidR="00E53F57" w:rsidRPr="00FF17EC" w:rsidRDefault="00E53F57" w:rsidP="00EF40E0">
            <w:pPr>
              <w:spacing w:after="0" w:line="240" w:lineRule="auto"/>
              <w:rPr>
                <w:b/>
                <w:lang w:eastAsia="it-IT"/>
              </w:rPr>
            </w:pPr>
            <w:r w:rsidRPr="00FF17EC">
              <w:rPr>
                <w:b/>
                <w:lang w:eastAsia="it-IT"/>
              </w:rPr>
              <w:t>Nitrogen loads in the catchment area</w:t>
            </w:r>
          </w:p>
        </w:tc>
        <w:tc>
          <w:tcPr>
            <w:tcW w:w="1482" w:type="dxa"/>
            <w:shd w:val="clear" w:color="auto" w:fill="BFBFBF" w:themeFill="background1" w:themeFillShade="BF"/>
          </w:tcPr>
          <w:p w:rsidR="00E53F57" w:rsidRPr="00FF17EC" w:rsidRDefault="00E53F57" w:rsidP="00EF40E0">
            <w:pPr>
              <w:spacing w:after="0" w:line="240" w:lineRule="auto"/>
              <w:rPr>
                <w:b/>
                <w:lang w:eastAsia="it-IT"/>
              </w:rPr>
            </w:pPr>
            <w:r w:rsidRPr="00FF17EC">
              <w:rPr>
                <w:b/>
                <w:lang w:eastAsia="it-IT"/>
              </w:rPr>
              <w:t>Phosphorous loads in the catchment area</w:t>
            </w:r>
          </w:p>
        </w:tc>
      </w:tr>
      <w:tr w:rsidR="00E53F57" w:rsidRPr="00FF17EC" w:rsidTr="00E53F57">
        <w:tc>
          <w:tcPr>
            <w:tcW w:w="1530" w:type="dxa"/>
          </w:tcPr>
          <w:p w:rsidR="00E53F57" w:rsidRPr="00FF17EC" w:rsidRDefault="00E53F57" w:rsidP="00EF40E0">
            <w:pPr>
              <w:spacing w:after="0" w:line="240" w:lineRule="auto"/>
              <w:rPr>
                <w:lang w:eastAsia="it-IT"/>
              </w:rPr>
            </w:pPr>
            <w:r w:rsidRPr="00FF17EC">
              <w:rPr>
                <w:lang w:eastAsia="it-IT"/>
              </w:rPr>
              <w:t>Tisa</w:t>
            </w:r>
          </w:p>
        </w:tc>
        <w:tc>
          <w:tcPr>
            <w:tcW w:w="1832" w:type="dxa"/>
          </w:tcPr>
          <w:p w:rsidR="00E53F57" w:rsidRPr="00FF17EC" w:rsidRDefault="00E53F57" w:rsidP="00EF40E0">
            <w:pPr>
              <w:spacing w:after="0" w:line="240" w:lineRule="auto"/>
              <w:rPr>
                <w:lang w:eastAsia="it-IT"/>
              </w:rPr>
            </w:pPr>
            <w:r w:rsidRPr="00FF17EC">
              <w:rPr>
                <w:lang w:eastAsia="it-IT"/>
              </w:rPr>
              <w:t>Heavily modified</w:t>
            </w:r>
          </w:p>
        </w:tc>
        <w:tc>
          <w:tcPr>
            <w:tcW w:w="1421" w:type="dxa"/>
          </w:tcPr>
          <w:p w:rsidR="00E53F57" w:rsidRPr="00FF17EC" w:rsidRDefault="00E53F57" w:rsidP="00EF40E0">
            <w:pPr>
              <w:spacing w:after="0" w:line="240" w:lineRule="auto"/>
              <w:rPr>
                <w:lang w:eastAsia="it-IT"/>
              </w:rPr>
            </w:pPr>
            <w:r w:rsidRPr="00FF17EC">
              <w:rPr>
                <w:lang w:eastAsia="it-IT"/>
              </w:rPr>
              <w:t>Moderate or worse potential</w:t>
            </w:r>
          </w:p>
        </w:tc>
        <w:tc>
          <w:tcPr>
            <w:tcW w:w="1518" w:type="dxa"/>
          </w:tcPr>
          <w:p w:rsidR="00E53F57" w:rsidRPr="00FF17EC" w:rsidRDefault="00E53F57" w:rsidP="00EF40E0">
            <w:pPr>
              <w:spacing w:after="0" w:line="240" w:lineRule="auto"/>
              <w:rPr>
                <w:lang w:eastAsia="it-IT"/>
              </w:rPr>
            </w:pPr>
            <w:r w:rsidRPr="00FF17EC">
              <w:rPr>
                <w:lang w:eastAsia="it-IT"/>
              </w:rPr>
              <w:t>At risk</w:t>
            </w:r>
          </w:p>
        </w:tc>
        <w:tc>
          <w:tcPr>
            <w:tcW w:w="1505" w:type="dxa"/>
          </w:tcPr>
          <w:p w:rsidR="00E53F57" w:rsidRPr="00FF17EC" w:rsidRDefault="00E53F57" w:rsidP="00EF40E0">
            <w:pPr>
              <w:spacing w:after="0" w:line="240" w:lineRule="auto"/>
              <w:rPr>
                <w:lang w:eastAsia="it-IT"/>
              </w:rPr>
            </w:pPr>
            <w:r w:rsidRPr="00FF17EC">
              <w:rPr>
                <w:lang w:eastAsia="it-IT"/>
              </w:rPr>
              <w:t>6-9kg/ha*year</w:t>
            </w:r>
          </w:p>
        </w:tc>
        <w:tc>
          <w:tcPr>
            <w:tcW w:w="1482" w:type="dxa"/>
          </w:tcPr>
          <w:p w:rsidR="00E53F57" w:rsidRPr="00FF17EC" w:rsidRDefault="00E53F57" w:rsidP="00EF40E0">
            <w:pPr>
              <w:spacing w:after="0" w:line="240" w:lineRule="auto"/>
              <w:rPr>
                <w:lang w:eastAsia="it-IT"/>
              </w:rPr>
            </w:pPr>
            <w:r w:rsidRPr="00FF17EC">
              <w:rPr>
                <w:lang w:eastAsia="it-IT"/>
              </w:rPr>
              <w:t>30-45 kg/km2*year</w:t>
            </w:r>
          </w:p>
        </w:tc>
      </w:tr>
      <w:tr w:rsidR="00E53F57" w:rsidRPr="00FF17EC" w:rsidTr="00E53F57">
        <w:tc>
          <w:tcPr>
            <w:tcW w:w="1530" w:type="dxa"/>
          </w:tcPr>
          <w:p w:rsidR="00E53F57" w:rsidRPr="00FF17EC" w:rsidRDefault="00E53F57" w:rsidP="00EF40E0">
            <w:pPr>
              <w:spacing w:after="0" w:line="240" w:lineRule="auto"/>
              <w:rPr>
                <w:lang w:eastAsia="it-IT"/>
              </w:rPr>
            </w:pPr>
            <w:r w:rsidRPr="00FF17EC">
              <w:rPr>
                <w:lang w:eastAsia="it-IT"/>
              </w:rPr>
              <w:t>Tisa-Danube channel</w:t>
            </w:r>
          </w:p>
        </w:tc>
        <w:tc>
          <w:tcPr>
            <w:tcW w:w="1832" w:type="dxa"/>
          </w:tcPr>
          <w:p w:rsidR="00E53F57" w:rsidRPr="00FF17EC" w:rsidRDefault="00E53F57" w:rsidP="00EF40E0">
            <w:pPr>
              <w:spacing w:after="0" w:line="240" w:lineRule="auto"/>
            </w:pPr>
            <w:r w:rsidRPr="00FF17EC">
              <w:rPr>
                <w:lang w:eastAsia="it-IT"/>
              </w:rPr>
              <w:t>Heavily modified</w:t>
            </w:r>
          </w:p>
        </w:tc>
        <w:tc>
          <w:tcPr>
            <w:tcW w:w="1421" w:type="dxa"/>
          </w:tcPr>
          <w:p w:rsidR="00E53F57" w:rsidRPr="00FF17EC" w:rsidRDefault="00E53F57" w:rsidP="00EF40E0">
            <w:pPr>
              <w:spacing w:after="0" w:line="240" w:lineRule="auto"/>
            </w:pPr>
            <w:r w:rsidRPr="00FF17EC">
              <w:rPr>
                <w:lang w:eastAsia="it-IT"/>
              </w:rPr>
              <w:t xml:space="preserve">Moderate or worse potential </w:t>
            </w:r>
          </w:p>
        </w:tc>
        <w:tc>
          <w:tcPr>
            <w:tcW w:w="1518" w:type="dxa"/>
          </w:tcPr>
          <w:p w:rsidR="00E53F57" w:rsidRPr="00FF17EC" w:rsidRDefault="00E53F57" w:rsidP="00EF40E0">
            <w:pPr>
              <w:spacing w:after="0" w:line="240" w:lineRule="auto"/>
              <w:rPr>
                <w:lang w:eastAsia="it-IT"/>
              </w:rPr>
            </w:pPr>
            <w:r w:rsidRPr="00FF17EC">
              <w:rPr>
                <w:lang w:eastAsia="it-IT"/>
              </w:rPr>
              <w:t>At risk</w:t>
            </w:r>
          </w:p>
        </w:tc>
        <w:tc>
          <w:tcPr>
            <w:tcW w:w="1505" w:type="dxa"/>
          </w:tcPr>
          <w:p w:rsidR="00E53F57" w:rsidRPr="00FF17EC" w:rsidRDefault="00E53F57" w:rsidP="00EF40E0">
            <w:pPr>
              <w:spacing w:after="0" w:line="240" w:lineRule="auto"/>
              <w:rPr>
                <w:lang w:eastAsia="it-IT"/>
              </w:rPr>
            </w:pPr>
            <w:r w:rsidRPr="00FF17EC">
              <w:rPr>
                <w:lang w:eastAsia="it-IT"/>
              </w:rPr>
              <w:t>6-9kg/ha*year</w:t>
            </w:r>
          </w:p>
        </w:tc>
        <w:tc>
          <w:tcPr>
            <w:tcW w:w="1482" w:type="dxa"/>
          </w:tcPr>
          <w:p w:rsidR="00E53F57" w:rsidRPr="00FF17EC" w:rsidRDefault="00E53F57" w:rsidP="00EF40E0">
            <w:pPr>
              <w:spacing w:after="0" w:line="240" w:lineRule="auto"/>
              <w:rPr>
                <w:lang w:eastAsia="it-IT"/>
              </w:rPr>
            </w:pPr>
            <w:r w:rsidRPr="00FF17EC">
              <w:rPr>
                <w:lang w:eastAsia="it-IT"/>
              </w:rPr>
              <w:t>30-45 kg/km2*year</w:t>
            </w:r>
          </w:p>
        </w:tc>
      </w:tr>
      <w:tr w:rsidR="00E53F57" w:rsidRPr="00FF17EC" w:rsidTr="00E53F57">
        <w:tc>
          <w:tcPr>
            <w:tcW w:w="1530" w:type="dxa"/>
          </w:tcPr>
          <w:p w:rsidR="00E53F57" w:rsidRPr="00FF17EC" w:rsidRDefault="00E53F57" w:rsidP="00EF40E0">
            <w:pPr>
              <w:spacing w:after="0" w:line="240" w:lineRule="auto"/>
              <w:rPr>
                <w:lang w:eastAsia="it-IT"/>
              </w:rPr>
            </w:pPr>
            <w:r w:rsidRPr="00FF17EC">
              <w:rPr>
                <w:lang w:eastAsia="it-IT"/>
              </w:rPr>
              <w:t>Danube</w:t>
            </w:r>
          </w:p>
        </w:tc>
        <w:tc>
          <w:tcPr>
            <w:tcW w:w="1832" w:type="dxa"/>
          </w:tcPr>
          <w:p w:rsidR="00E53F57" w:rsidRPr="00FF17EC" w:rsidRDefault="00E53F57" w:rsidP="00EF40E0">
            <w:pPr>
              <w:spacing w:after="0" w:line="240" w:lineRule="auto"/>
            </w:pPr>
            <w:r w:rsidRPr="00FF17EC">
              <w:rPr>
                <w:lang w:eastAsia="it-IT"/>
              </w:rPr>
              <w:t>Heavily modified</w:t>
            </w:r>
          </w:p>
        </w:tc>
        <w:tc>
          <w:tcPr>
            <w:tcW w:w="1421" w:type="dxa"/>
          </w:tcPr>
          <w:p w:rsidR="00E53F57" w:rsidRPr="00FF17EC" w:rsidRDefault="00E53F57" w:rsidP="00EF40E0">
            <w:pPr>
              <w:spacing w:after="0" w:line="240" w:lineRule="auto"/>
            </w:pPr>
            <w:r w:rsidRPr="00FF17EC">
              <w:rPr>
                <w:lang w:eastAsia="it-IT"/>
              </w:rPr>
              <w:t xml:space="preserve">Moderate or worse potential </w:t>
            </w:r>
          </w:p>
        </w:tc>
        <w:tc>
          <w:tcPr>
            <w:tcW w:w="1518" w:type="dxa"/>
          </w:tcPr>
          <w:p w:rsidR="00E53F57" w:rsidRPr="00FF17EC" w:rsidRDefault="00E53F57" w:rsidP="00EF40E0">
            <w:pPr>
              <w:spacing w:after="0" w:line="240" w:lineRule="auto"/>
              <w:rPr>
                <w:lang w:eastAsia="it-IT"/>
              </w:rPr>
            </w:pPr>
            <w:r w:rsidRPr="00FF17EC">
              <w:rPr>
                <w:lang w:eastAsia="it-IT"/>
              </w:rPr>
              <w:t>Failing good status</w:t>
            </w:r>
          </w:p>
        </w:tc>
        <w:tc>
          <w:tcPr>
            <w:tcW w:w="1505" w:type="dxa"/>
          </w:tcPr>
          <w:p w:rsidR="00E53F57" w:rsidRPr="00FF17EC" w:rsidRDefault="00E53F57" w:rsidP="00EF40E0">
            <w:pPr>
              <w:spacing w:after="0" w:line="240" w:lineRule="auto"/>
              <w:rPr>
                <w:lang w:eastAsia="it-IT"/>
              </w:rPr>
            </w:pPr>
            <w:r w:rsidRPr="00FF17EC">
              <w:rPr>
                <w:lang w:eastAsia="it-IT"/>
              </w:rPr>
              <w:t>9-13 kg/ha*year</w:t>
            </w:r>
          </w:p>
        </w:tc>
        <w:tc>
          <w:tcPr>
            <w:tcW w:w="1482" w:type="dxa"/>
          </w:tcPr>
          <w:p w:rsidR="00E53F57" w:rsidRPr="00FF17EC" w:rsidRDefault="00E53F57" w:rsidP="00EF40E0">
            <w:pPr>
              <w:spacing w:after="0" w:line="240" w:lineRule="auto"/>
              <w:rPr>
                <w:lang w:eastAsia="it-IT"/>
              </w:rPr>
            </w:pPr>
            <w:r w:rsidRPr="00FF17EC">
              <w:rPr>
                <w:lang w:eastAsia="it-IT"/>
              </w:rPr>
              <w:t>45-60 kg/km2*year</w:t>
            </w:r>
          </w:p>
        </w:tc>
      </w:tr>
      <w:tr w:rsidR="00E53F57" w:rsidRPr="00FF17EC" w:rsidTr="00E53F57">
        <w:tc>
          <w:tcPr>
            <w:tcW w:w="1530" w:type="dxa"/>
          </w:tcPr>
          <w:p w:rsidR="00E53F57" w:rsidRPr="00FF17EC" w:rsidRDefault="00E53F57" w:rsidP="00EF40E0">
            <w:pPr>
              <w:spacing w:after="0" w:line="240" w:lineRule="auto"/>
              <w:rPr>
                <w:lang w:eastAsia="it-IT"/>
              </w:rPr>
            </w:pPr>
            <w:r w:rsidRPr="00FF17EC">
              <w:rPr>
                <w:lang w:eastAsia="it-IT"/>
              </w:rPr>
              <w:t>Old and Navigable Begej</w:t>
            </w:r>
          </w:p>
        </w:tc>
        <w:tc>
          <w:tcPr>
            <w:tcW w:w="1832" w:type="dxa"/>
          </w:tcPr>
          <w:p w:rsidR="00E53F57" w:rsidRPr="00FF17EC" w:rsidRDefault="00E53F57" w:rsidP="00EF40E0">
            <w:pPr>
              <w:spacing w:after="0" w:line="240" w:lineRule="auto"/>
              <w:rPr>
                <w:lang w:eastAsia="it-IT"/>
              </w:rPr>
            </w:pPr>
            <w:r w:rsidRPr="00FF17EC">
              <w:rPr>
                <w:lang w:eastAsia="it-IT"/>
              </w:rPr>
              <w:t>Heavily modified</w:t>
            </w:r>
          </w:p>
        </w:tc>
        <w:tc>
          <w:tcPr>
            <w:tcW w:w="1421" w:type="dxa"/>
          </w:tcPr>
          <w:p w:rsidR="00E53F57" w:rsidRPr="00FF17EC" w:rsidRDefault="00E53F57" w:rsidP="00EF40E0">
            <w:pPr>
              <w:spacing w:after="0" w:line="240" w:lineRule="auto"/>
              <w:rPr>
                <w:lang w:eastAsia="it-IT"/>
              </w:rPr>
            </w:pPr>
            <w:r w:rsidRPr="00FF17EC">
              <w:rPr>
                <w:lang w:eastAsia="it-IT"/>
              </w:rPr>
              <w:t>Good upstream of Timișoara, moderate or worse potential downstream</w:t>
            </w:r>
          </w:p>
        </w:tc>
        <w:tc>
          <w:tcPr>
            <w:tcW w:w="1518" w:type="dxa"/>
          </w:tcPr>
          <w:p w:rsidR="00E53F57" w:rsidRPr="00FF17EC" w:rsidRDefault="00E53F57" w:rsidP="00EF40E0">
            <w:pPr>
              <w:spacing w:after="0" w:line="240" w:lineRule="auto"/>
              <w:rPr>
                <w:lang w:eastAsia="it-IT"/>
              </w:rPr>
            </w:pPr>
            <w:r w:rsidRPr="00FF17EC">
              <w:rPr>
                <w:lang w:eastAsia="it-IT"/>
              </w:rPr>
              <w:t>Good upstream of Timișoara, at risk downstream</w:t>
            </w:r>
          </w:p>
        </w:tc>
        <w:tc>
          <w:tcPr>
            <w:tcW w:w="1505" w:type="dxa"/>
          </w:tcPr>
          <w:p w:rsidR="00E53F57" w:rsidRPr="00FF17EC" w:rsidRDefault="00E53F57" w:rsidP="00EF40E0">
            <w:pPr>
              <w:spacing w:after="0" w:line="240" w:lineRule="auto"/>
              <w:rPr>
                <w:lang w:eastAsia="it-IT"/>
              </w:rPr>
            </w:pPr>
            <w:r w:rsidRPr="00FF17EC">
              <w:rPr>
                <w:lang w:eastAsia="it-IT"/>
              </w:rPr>
              <w:t>6-9kg/ha*year</w:t>
            </w:r>
          </w:p>
        </w:tc>
        <w:tc>
          <w:tcPr>
            <w:tcW w:w="1482" w:type="dxa"/>
          </w:tcPr>
          <w:p w:rsidR="00E53F57" w:rsidRPr="00FF17EC" w:rsidRDefault="00E53F57" w:rsidP="00EF40E0">
            <w:pPr>
              <w:spacing w:after="0" w:line="240" w:lineRule="auto"/>
              <w:rPr>
                <w:lang w:eastAsia="it-IT"/>
              </w:rPr>
            </w:pPr>
            <w:r w:rsidRPr="00FF17EC">
              <w:rPr>
                <w:lang w:eastAsia="it-IT"/>
              </w:rPr>
              <w:t>30-45 kg/km2*year</w:t>
            </w:r>
          </w:p>
        </w:tc>
      </w:tr>
      <w:tr w:rsidR="00E53F57" w:rsidRPr="00FF17EC" w:rsidTr="00E53F57">
        <w:tc>
          <w:tcPr>
            <w:tcW w:w="1530" w:type="dxa"/>
          </w:tcPr>
          <w:p w:rsidR="00E53F57" w:rsidRPr="00FF17EC" w:rsidRDefault="00E53F57" w:rsidP="00EF40E0">
            <w:pPr>
              <w:spacing w:after="0" w:line="240" w:lineRule="auto"/>
              <w:rPr>
                <w:lang w:eastAsia="it-IT"/>
              </w:rPr>
            </w:pPr>
            <w:r w:rsidRPr="00FF17EC">
              <w:rPr>
                <w:lang w:eastAsia="it-IT"/>
              </w:rPr>
              <w:t>Timiș/Tamiš</w:t>
            </w:r>
          </w:p>
        </w:tc>
        <w:tc>
          <w:tcPr>
            <w:tcW w:w="1832" w:type="dxa"/>
          </w:tcPr>
          <w:p w:rsidR="00E53F57" w:rsidRPr="00FF17EC" w:rsidRDefault="00E53F57" w:rsidP="00EF40E0">
            <w:pPr>
              <w:spacing w:after="0" w:line="240" w:lineRule="auto"/>
              <w:rPr>
                <w:lang w:eastAsia="it-IT"/>
              </w:rPr>
            </w:pPr>
            <w:r w:rsidRPr="00FF17EC">
              <w:rPr>
                <w:lang w:eastAsia="it-IT"/>
              </w:rPr>
              <w:t>Mixed</w:t>
            </w:r>
          </w:p>
        </w:tc>
        <w:tc>
          <w:tcPr>
            <w:tcW w:w="1421" w:type="dxa"/>
          </w:tcPr>
          <w:p w:rsidR="00E53F57" w:rsidRPr="00FF17EC" w:rsidRDefault="00E53F57" w:rsidP="00EF40E0">
            <w:pPr>
              <w:spacing w:after="0" w:line="240" w:lineRule="auto"/>
              <w:rPr>
                <w:lang w:eastAsia="it-IT"/>
              </w:rPr>
            </w:pPr>
            <w:r w:rsidRPr="00FF17EC">
              <w:rPr>
                <w:lang w:eastAsia="it-IT"/>
              </w:rPr>
              <w:t>Good</w:t>
            </w:r>
          </w:p>
        </w:tc>
        <w:tc>
          <w:tcPr>
            <w:tcW w:w="1518" w:type="dxa"/>
          </w:tcPr>
          <w:p w:rsidR="00E53F57" w:rsidRPr="00FF17EC" w:rsidRDefault="00E53F57" w:rsidP="00EF40E0">
            <w:pPr>
              <w:spacing w:after="0" w:line="240" w:lineRule="auto"/>
              <w:rPr>
                <w:lang w:eastAsia="it-IT"/>
              </w:rPr>
            </w:pPr>
            <w:r w:rsidRPr="00FF17EC">
              <w:rPr>
                <w:lang w:eastAsia="it-IT"/>
              </w:rPr>
              <w:t>Good status</w:t>
            </w:r>
          </w:p>
        </w:tc>
        <w:tc>
          <w:tcPr>
            <w:tcW w:w="1505" w:type="dxa"/>
          </w:tcPr>
          <w:p w:rsidR="00E53F57" w:rsidRPr="00FF17EC" w:rsidRDefault="00E53F57" w:rsidP="00EF40E0">
            <w:pPr>
              <w:spacing w:after="0" w:line="240" w:lineRule="auto"/>
              <w:rPr>
                <w:lang w:eastAsia="it-IT"/>
              </w:rPr>
            </w:pPr>
            <w:r w:rsidRPr="00FF17EC">
              <w:rPr>
                <w:lang w:eastAsia="it-IT"/>
              </w:rPr>
              <w:t>Up tp over 13 kg/ha*year</w:t>
            </w:r>
          </w:p>
        </w:tc>
        <w:tc>
          <w:tcPr>
            <w:tcW w:w="1482" w:type="dxa"/>
          </w:tcPr>
          <w:p w:rsidR="00E53F57" w:rsidRPr="00FF17EC" w:rsidRDefault="00E53F57" w:rsidP="00EF40E0">
            <w:pPr>
              <w:spacing w:after="0" w:line="240" w:lineRule="auto"/>
              <w:rPr>
                <w:lang w:eastAsia="it-IT"/>
              </w:rPr>
            </w:pPr>
            <w:r w:rsidRPr="00FF17EC">
              <w:rPr>
                <w:lang w:eastAsia="it-IT"/>
              </w:rPr>
              <w:t>45-60 kg/km2*year</w:t>
            </w:r>
          </w:p>
        </w:tc>
      </w:tr>
      <w:tr w:rsidR="00E53F57" w:rsidRPr="00FF17EC" w:rsidTr="00E53F57">
        <w:tc>
          <w:tcPr>
            <w:tcW w:w="1530" w:type="dxa"/>
          </w:tcPr>
          <w:p w:rsidR="00E53F57" w:rsidRPr="00FF17EC" w:rsidRDefault="00E53F57" w:rsidP="00EF40E0">
            <w:pPr>
              <w:spacing w:after="0" w:line="240" w:lineRule="auto"/>
              <w:rPr>
                <w:lang w:eastAsia="it-IT"/>
              </w:rPr>
            </w:pPr>
            <w:r w:rsidRPr="00FF17EC">
              <w:rPr>
                <w:lang w:eastAsia="it-IT"/>
              </w:rPr>
              <w:t>Velika Morava</w:t>
            </w:r>
          </w:p>
        </w:tc>
        <w:tc>
          <w:tcPr>
            <w:tcW w:w="1832" w:type="dxa"/>
          </w:tcPr>
          <w:p w:rsidR="00E53F57" w:rsidRPr="00FF17EC" w:rsidRDefault="00E53F57" w:rsidP="00EF40E0">
            <w:pPr>
              <w:spacing w:after="0" w:line="240" w:lineRule="auto"/>
              <w:rPr>
                <w:lang w:eastAsia="it-IT"/>
              </w:rPr>
            </w:pPr>
            <w:r w:rsidRPr="00FF17EC">
              <w:rPr>
                <w:lang w:eastAsia="it-IT"/>
              </w:rPr>
              <w:t>Natural</w:t>
            </w:r>
          </w:p>
        </w:tc>
        <w:tc>
          <w:tcPr>
            <w:tcW w:w="1421" w:type="dxa"/>
          </w:tcPr>
          <w:p w:rsidR="00E53F57" w:rsidRPr="00FF17EC" w:rsidRDefault="00E53F57" w:rsidP="00EF40E0">
            <w:pPr>
              <w:spacing w:after="0" w:line="240" w:lineRule="auto"/>
              <w:rPr>
                <w:lang w:eastAsia="it-IT"/>
              </w:rPr>
            </w:pPr>
            <w:r w:rsidRPr="00FF17EC">
              <w:rPr>
                <w:lang w:eastAsia="it-IT"/>
              </w:rPr>
              <w:t>n.a.</w:t>
            </w:r>
          </w:p>
        </w:tc>
        <w:tc>
          <w:tcPr>
            <w:tcW w:w="1518" w:type="dxa"/>
          </w:tcPr>
          <w:p w:rsidR="00E53F57" w:rsidRPr="00FF17EC" w:rsidRDefault="00E53F57" w:rsidP="00EF40E0">
            <w:pPr>
              <w:spacing w:after="0" w:line="240" w:lineRule="auto"/>
              <w:rPr>
                <w:lang w:eastAsia="it-IT"/>
              </w:rPr>
            </w:pPr>
            <w:r w:rsidRPr="00FF17EC">
              <w:rPr>
                <w:lang w:eastAsia="it-IT"/>
              </w:rPr>
              <w:t>Possibly at risk</w:t>
            </w:r>
          </w:p>
        </w:tc>
        <w:tc>
          <w:tcPr>
            <w:tcW w:w="1505" w:type="dxa"/>
          </w:tcPr>
          <w:p w:rsidR="00E53F57" w:rsidRPr="00FF17EC" w:rsidRDefault="00E53F57" w:rsidP="00EF40E0">
            <w:pPr>
              <w:spacing w:after="0" w:line="240" w:lineRule="auto"/>
              <w:rPr>
                <w:lang w:eastAsia="it-IT"/>
              </w:rPr>
            </w:pPr>
            <w:r w:rsidRPr="00FF17EC">
              <w:rPr>
                <w:lang w:eastAsia="it-IT"/>
              </w:rPr>
              <w:t>9-13 kg/ha*year</w:t>
            </w:r>
          </w:p>
        </w:tc>
        <w:tc>
          <w:tcPr>
            <w:tcW w:w="1482" w:type="dxa"/>
          </w:tcPr>
          <w:p w:rsidR="00E53F57" w:rsidRPr="00FF17EC" w:rsidRDefault="00E53F57" w:rsidP="00EF40E0">
            <w:pPr>
              <w:spacing w:after="0" w:line="240" w:lineRule="auto"/>
              <w:rPr>
                <w:lang w:eastAsia="it-IT"/>
              </w:rPr>
            </w:pPr>
            <w:r w:rsidRPr="00FF17EC">
              <w:rPr>
                <w:lang w:eastAsia="it-IT"/>
              </w:rPr>
              <w:t>30-45 kg/km2*year</w:t>
            </w:r>
          </w:p>
        </w:tc>
      </w:tr>
      <w:tr w:rsidR="00E53F57" w:rsidRPr="00FF17EC" w:rsidTr="00E53F57">
        <w:tc>
          <w:tcPr>
            <w:tcW w:w="1530" w:type="dxa"/>
          </w:tcPr>
          <w:p w:rsidR="00E53F57" w:rsidRPr="00FF17EC" w:rsidRDefault="00E53F57" w:rsidP="00EF40E0">
            <w:pPr>
              <w:spacing w:after="0" w:line="240" w:lineRule="auto"/>
              <w:rPr>
                <w:lang w:eastAsia="it-IT"/>
              </w:rPr>
            </w:pPr>
            <w:r w:rsidRPr="00FF17EC">
              <w:rPr>
                <w:lang w:eastAsia="it-IT"/>
              </w:rPr>
              <w:t>Timok</w:t>
            </w:r>
          </w:p>
        </w:tc>
        <w:tc>
          <w:tcPr>
            <w:tcW w:w="1832" w:type="dxa"/>
          </w:tcPr>
          <w:p w:rsidR="00E53F57" w:rsidRPr="00FF17EC" w:rsidRDefault="00E53F57" w:rsidP="00EF40E0">
            <w:pPr>
              <w:spacing w:after="0" w:line="240" w:lineRule="auto"/>
              <w:rPr>
                <w:lang w:eastAsia="it-IT"/>
              </w:rPr>
            </w:pPr>
            <w:r w:rsidRPr="00FF17EC">
              <w:rPr>
                <w:lang w:eastAsia="it-IT"/>
              </w:rPr>
              <w:t xml:space="preserve">Natural </w:t>
            </w:r>
          </w:p>
        </w:tc>
        <w:tc>
          <w:tcPr>
            <w:tcW w:w="1421" w:type="dxa"/>
          </w:tcPr>
          <w:p w:rsidR="00E53F57" w:rsidRPr="00FF17EC" w:rsidRDefault="00E53F57" w:rsidP="00EF40E0">
            <w:pPr>
              <w:spacing w:after="0" w:line="240" w:lineRule="auto"/>
              <w:rPr>
                <w:lang w:eastAsia="it-IT"/>
              </w:rPr>
            </w:pPr>
            <w:r w:rsidRPr="00FF17EC">
              <w:rPr>
                <w:lang w:eastAsia="it-IT"/>
              </w:rPr>
              <w:t>n.a.</w:t>
            </w:r>
          </w:p>
        </w:tc>
        <w:tc>
          <w:tcPr>
            <w:tcW w:w="1518" w:type="dxa"/>
          </w:tcPr>
          <w:p w:rsidR="00E53F57" w:rsidRPr="00FF17EC" w:rsidRDefault="00E53F57" w:rsidP="00EF40E0">
            <w:pPr>
              <w:spacing w:after="0" w:line="240" w:lineRule="auto"/>
              <w:rPr>
                <w:lang w:eastAsia="it-IT"/>
              </w:rPr>
            </w:pPr>
            <w:r w:rsidRPr="00FF17EC">
              <w:rPr>
                <w:lang w:eastAsia="it-IT"/>
              </w:rPr>
              <w:t>Possibly at risk</w:t>
            </w:r>
          </w:p>
        </w:tc>
        <w:tc>
          <w:tcPr>
            <w:tcW w:w="1505" w:type="dxa"/>
          </w:tcPr>
          <w:p w:rsidR="00E53F57" w:rsidRPr="00FF17EC" w:rsidRDefault="00E53F57" w:rsidP="00EF40E0">
            <w:pPr>
              <w:spacing w:after="0" w:line="240" w:lineRule="auto"/>
              <w:rPr>
                <w:lang w:eastAsia="it-IT"/>
              </w:rPr>
            </w:pPr>
            <w:r w:rsidRPr="00FF17EC">
              <w:rPr>
                <w:lang w:eastAsia="it-IT"/>
              </w:rPr>
              <w:t>9-13 kg/ha*year</w:t>
            </w:r>
          </w:p>
        </w:tc>
        <w:tc>
          <w:tcPr>
            <w:tcW w:w="1482" w:type="dxa"/>
          </w:tcPr>
          <w:p w:rsidR="00E53F57" w:rsidRPr="00FF17EC" w:rsidRDefault="00E53F57" w:rsidP="00EF40E0">
            <w:pPr>
              <w:spacing w:after="0" w:line="240" w:lineRule="auto"/>
              <w:rPr>
                <w:lang w:eastAsia="it-IT"/>
              </w:rPr>
            </w:pPr>
            <w:r w:rsidRPr="00FF17EC">
              <w:rPr>
                <w:lang w:eastAsia="it-IT"/>
              </w:rPr>
              <w:t>30-45 kg/km2*year</w:t>
            </w:r>
          </w:p>
        </w:tc>
      </w:tr>
    </w:tbl>
    <w:p w:rsidR="00E53F57" w:rsidRPr="00FF17EC" w:rsidRDefault="00E53F57" w:rsidP="00E53F57">
      <w:pPr>
        <w:rPr>
          <w:sz w:val="20"/>
          <w:lang w:eastAsia="it-IT"/>
        </w:rPr>
      </w:pPr>
      <w:r w:rsidRPr="00FF17EC">
        <w:rPr>
          <w:sz w:val="20"/>
          <w:lang w:eastAsia="it-IT"/>
        </w:rPr>
        <w:lastRenderedPageBreak/>
        <w:t>Source: ICPDR 2009, 2012</w:t>
      </w:r>
    </w:p>
    <w:p w:rsidR="00393059" w:rsidRPr="00FF17EC" w:rsidRDefault="00393059" w:rsidP="00393059">
      <w:pPr>
        <w:pStyle w:val="Caption"/>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8</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3</w:t>
      </w:r>
      <w:r w:rsidR="00085686" w:rsidRPr="00FF17EC">
        <w:rPr>
          <w:noProof/>
        </w:rPr>
        <w:fldChar w:fldCharType="end"/>
      </w:r>
      <w:r w:rsidRPr="00FF17EC">
        <w:t xml:space="preserve"> </w:t>
      </w:r>
      <w:r w:rsidRPr="00FF17EC">
        <w:rPr>
          <w:lang w:eastAsia="it-IT"/>
        </w:rPr>
        <w:t>The overall situation of the rivers water</w:t>
      </w:r>
    </w:p>
    <w:p w:rsidR="00393059" w:rsidRPr="00FF17EC" w:rsidRDefault="00393059" w:rsidP="00393059"/>
    <w:p w:rsidR="00E53F57" w:rsidRPr="00FF17EC" w:rsidRDefault="00E53F57" w:rsidP="00E53F57">
      <w:pPr>
        <w:spacing w:after="0"/>
        <w:jc w:val="left"/>
        <w:rPr>
          <w:lang w:eastAsia="it-IT"/>
        </w:rPr>
      </w:pPr>
      <w:r w:rsidRPr="00FF17EC">
        <w:rPr>
          <w:lang w:eastAsia="it-IT"/>
        </w:rPr>
        <w:t xml:space="preserve">The following table gives an overview over the access to water and sewage in the area: </w:t>
      </w:r>
    </w:p>
    <w:tbl>
      <w:tblPr>
        <w:tblStyle w:val="TableGrid"/>
        <w:tblW w:w="9889" w:type="dxa"/>
        <w:tblLook w:val="04A0" w:firstRow="1" w:lastRow="0" w:firstColumn="1" w:lastColumn="0" w:noHBand="0" w:noVBand="1"/>
      </w:tblPr>
      <w:tblGrid>
        <w:gridCol w:w="1233"/>
        <w:gridCol w:w="1324"/>
        <w:gridCol w:w="3328"/>
        <w:gridCol w:w="4004"/>
      </w:tblGrid>
      <w:tr w:rsidR="00E53F57" w:rsidRPr="00FF17EC" w:rsidTr="008C403B">
        <w:tc>
          <w:tcPr>
            <w:tcW w:w="1233" w:type="dxa"/>
            <w:vAlign w:val="center"/>
          </w:tcPr>
          <w:p w:rsidR="00E53F57" w:rsidRPr="00FF17EC" w:rsidRDefault="00E53F57" w:rsidP="00EF40E0">
            <w:pPr>
              <w:spacing w:after="0" w:line="240" w:lineRule="auto"/>
              <w:jc w:val="left"/>
              <w:rPr>
                <w:b/>
              </w:rPr>
            </w:pPr>
            <w:r w:rsidRPr="00FF17EC">
              <w:rPr>
                <w:b/>
              </w:rPr>
              <w:t>Country</w:t>
            </w:r>
          </w:p>
        </w:tc>
        <w:tc>
          <w:tcPr>
            <w:tcW w:w="1324" w:type="dxa"/>
            <w:vAlign w:val="center"/>
          </w:tcPr>
          <w:p w:rsidR="00E53F57" w:rsidRPr="00FF17EC" w:rsidRDefault="00E53F57" w:rsidP="00EF40E0">
            <w:pPr>
              <w:spacing w:after="0" w:line="240" w:lineRule="auto"/>
              <w:jc w:val="left"/>
              <w:rPr>
                <w:b/>
              </w:rPr>
            </w:pPr>
            <w:r w:rsidRPr="00FF17EC">
              <w:rPr>
                <w:b/>
              </w:rPr>
              <w:t>District</w:t>
            </w:r>
          </w:p>
        </w:tc>
        <w:tc>
          <w:tcPr>
            <w:tcW w:w="3328" w:type="dxa"/>
            <w:vAlign w:val="center"/>
          </w:tcPr>
          <w:p w:rsidR="00E53F57" w:rsidRPr="00FF17EC" w:rsidRDefault="00E53F57" w:rsidP="00EF40E0">
            <w:pPr>
              <w:spacing w:after="0" w:line="240" w:lineRule="auto"/>
              <w:jc w:val="left"/>
              <w:rPr>
                <w:b/>
              </w:rPr>
            </w:pPr>
            <w:r w:rsidRPr="00FF17EC">
              <w:rPr>
                <w:b/>
              </w:rPr>
              <w:t>Access to Waters</w:t>
            </w:r>
          </w:p>
        </w:tc>
        <w:tc>
          <w:tcPr>
            <w:tcW w:w="4004" w:type="dxa"/>
            <w:vAlign w:val="center"/>
          </w:tcPr>
          <w:p w:rsidR="00E53F57" w:rsidRPr="00FF17EC" w:rsidRDefault="00E53F57" w:rsidP="00EF40E0">
            <w:pPr>
              <w:spacing w:after="0" w:line="240" w:lineRule="auto"/>
              <w:jc w:val="left"/>
              <w:rPr>
                <w:b/>
              </w:rPr>
            </w:pPr>
            <w:r w:rsidRPr="00FF17EC">
              <w:rPr>
                <w:b/>
              </w:rPr>
              <w:t>Connection to Sewage network</w:t>
            </w:r>
          </w:p>
        </w:tc>
      </w:tr>
      <w:tr w:rsidR="00E53F57" w:rsidRPr="00FF17EC" w:rsidTr="008C403B">
        <w:tc>
          <w:tcPr>
            <w:tcW w:w="1233" w:type="dxa"/>
            <w:vMerge w:val="restart"/>
            <w:vAlign w:val="center"/>
          </w:tcPr>
          <w:p w:rsidR="00E53F57" w:rsidRPr="00FF17EC" w:rsidRDefault="00E53F57" w:rsidP="00EF40E0">
            <w:pPr>
              <w:spacing w:after="0" w:line="240" w:lineRule="auto"/>
              <w:jc w:val="left"/>
              <w:rPr>
                <w:b/>
                <w:lang w:eastAsia="it-IT"/>
              </w:rPr>
            </w:pPr>
            <w:r w:rsidRPr="00FF17EC">
              <w:rPr>
                <w:b/>
                <w:lang w:eastAsia="it-IT"/>
              </w:rPr>
              <w:t>Romania</w:t>
            </w:r>
          </w:p>
        </w:tc>
        <w:tc>
          <w:tcPr>
            <w:tcW w:w="1324" w:type="dxa"/>
            <w:vAlign w:val="center"/>
          </w:tcPr>
          <w:p w:rsidR="00E53F57" w:rsidRPr="00FF17EC" w:rsidRDefault="00E53F57" w:rsidP="00EF40E0">
            <w:pPr>
              <w:spacing w:after="0" w:line="240" w:lineRule="auto"/>
              <w:jc w:val="left"/>
            </w:pPr>
            <w:r w:rsidRPr="00FF17EC">
              <w:t>Timiş</w:t>
            </w:r>
          </w:p>
        </w:tc>
        <w:tc>
          <w:tcPr>
            <w:tcW w:w="3328" w:type="dxa"/>
            <w:vAlign w:val="center"/>
          </w:tcPr>
          <w:p w:rsidR="00E53F57" w:rsidRPr="00FF17EC" w:rsidRDefault="00E53F57" w:rsidP="00EF40E0">
            <w:pPr>
              <w:pStyle w:val="BodyText"/>
              <w:keepNext/>
              <w:spacing w:after="0" w:line="240" w:lineRule="auto"/>
              <w:jc w:val="left"/>
              <w:rPr>
                <w:b w:val="0"/>
              </w:rPr>
            </w:pPr>
            <w:r w:rsidRPr="00FF17EC">
              <w:rPr>
                <w:b w:val="0"/>
              </w:rPr>
              <w:t>The existing 2816 km of water supply network covers 88 administrative units (10 towns and 78 communes). The volume of drinking water in 2012 is 34.228.000 cubic meters. The water supply system covers a population of 468.220 inhabitants (nearly 70% of the total population of the county).</w:t>
            </w:r>
          </w:p>
        </w:tc>
        <w:tc>
          <w:tcPr>
            <w:tcW w:w="4004" w:type="dxa"/>
            <w:vAlign w:val="center"/>
          </w:tcPr>
          <w:p w:rsidR="00E53F57" w:rsidRPr="00FF17EC" w:rsidRDefault="00E53F57" w:rsidP="00EF40E0">
            <w:pPr>
              <w:pStyle w:val="BodyText"/>
              <w:keepNext/>
              <w:spacing w:after="0" w:line="240" w:lineRule="auto"/>
              <w:jc w:val="left"/>
              <w:rPr>
                <w:b w:val="0"/>
              </w:rPr>
            </w:pPr>
            <w:r w:rsidRPr="00FF17EC">
              <w:rPr>
                <w:b w:val="0"/>
              </w:rPr>
              <w:t>The county is the second in the region related to the settlements access to sewage (with 9 towns and 17 communes in 2010), and to the lengths of sewage network – 1.003 km.</w:t>
            </w:r>
          </w:p>
        </w:tc>
      </w:tr>
      <w:tr w:rsidR="00E53F57" w:rsidRPr="00FF17EC" w:rsidTr="008C403B">
        <w:tc>
          <w:tcPr>
            <w:tcW w:w="1233" w:type="dxa"/>
            <w:vMerge/>
            <w:vAlign w:val="center"/>
          </w:tcPr>
          <w:p w:rsidR="00E53F57" w:rsidRPr="00FF17EC" w:rsidRDefault="00E53F57" w:rsidP="00EF40E0">
            <w:pPr>
              <w:spacing w:after="0" w:line="240" w:lineRule="auto"/>
              <w:jc w:val="left"/>
              <w:rPr>
                <w:b/>
                <w:lang w:eastAsia="it-IT"/>
              </w:rPr>
            </w:pPr>
          </w:p>
        </w:tc>
        <w:tc>
          <w:tcPr>
            <w:tcW w:w="1324" w:type="dxa"/>
            <w:vAlign w:val="center"/>
          </w:tcPr>
          <w:p w:rsidR="00E53F57" w:rsidRPr="00FF17EC" w:rsidRDefault="00E53F57" w:rsidP="00EF40E0">
            <w:pPr>
              <w:spacing w:after="0" w:line="240" w:lineRule="auto"/>
              <w:jc w:val="left"/>
            </w:pPr>
            <w:r w:rsidRPr="00FF17EC">
              <w:t>Caraş-Severin</w:t>
            </w:r>
          </w:p>
        </w:tc>
        <w:tc>
          <w:tcPr>
            <w:tcW w:w="3328" w:type="dxa"/>
            <w:vAlign w:val="center"/>
          </w:tcPr>
          <w:p w:rsidR="00E53F57" w:rsidRPr="00FF17EC" w:rsidRDefault="00E53F57" w:rsidP="00EF40E0">
            <w:pPr>
              <w:pStyle w:val="BodyText"/>
              <w:keepNext/>
              <w:spacing w:after="0" w:line="240" w:lineRule="auto"/>
              <w:jc w:val="left"/>
              <w:rPr>
                <w:b w:val="0"/>
              </w:rPr>
            </w:pPr>
            <w:r w:rsidRPr="00FF17EC">
              <w:rPr>
                <w:b w:val="0"/>
              </w:rPr>
              <w:t>35 settlements have no access to a water supply network. The existing 911 km of water supply network covers 46 administrative units (8 towns and 38 communes). The volume of drinking water in 2011 is 11,200,000 cubic meters, decreasing with 20% from 2007.</w:t>
            </w:r>
          </w:p>
        </w:tc>
        <w:tc>
          <w:tcPr>
            <w:tcW w:w="4004" w:type="dxa"/>
            <w:vAlign w:val="center"/>
          </w:tcPr>
          <w:p w:rsidR="00E53F57" w:rsidRPr="00FF17EC" w:rsidRDefault="00E53F57" w:rsidP="00EF40E0">
            <w:pPr>
              <w:pStyle w:val="BodyText"/>
              <w:keepNext/>
              <w:spacing w:after="0" w:line="240" w:lineRule="auto"/>
              <w:jc w:val="left"/>
              <w:rPr>
                <w:b w:val="0"/>
              </w:rPr>
            </w:pPr>
            <w:r w:rsidRPr="00FF17EC">
              <w:rPr>
                <w:b w:val="0"/>
              </w:rPr>
              <w:t>The county is the last in the region related to the settlements access to sewage (with only 8 towns and 16 communes in 2010), and to the lengths of sewage network - 393.2 km, representing 13.6% from the total regional network.</w:t>
            </w:r>
          </w:p>
        </w:tc>
      </w:tr>
      <w:tr w:rsidR="00E53F57" w:rsidRPr="00FF17EC" w:rsidTr="008C403B">
        <w:tc>
          <w:tcPr>
            <w:tcW w:w="1233" w:type="dxa"/>
            <w:vMerge/>
            <w:vAlign w:val="center"/>
          </w:tcPr>
          <w:p w:rsidR="00E53F57" w:rsidRPr="00FF17EC" w:rsidRDefault="00E53F57" w:rsidP="00EF40E0">
            <w:pPr>
              <w:spacing w:after="0" w:line="240" w:lineRule="auto"/>
              <w:jc w:val="left"/>
              <w:rPr>
                <w:b/>
                <w:lang w:eastAsia="it-IT"/>
              </w:rPr>
            </w:pPr>
          </w:p>
        </w:tc>
        <w:tc>
          <w:tcPr>
            <w:tcW w:w="1324" w:type="dxa"/>
            <w:vAlign w:val="center"/>
          </w:tcPr>
          <w:p w:rsidR="00E53F57" w:rsidRPr="00FF17EC" w:rsidRDefault="00E53F57" w:rsidP="00EF40E0">
            <w:pPr>
              <w:spacing w:after="0" w:line="240" w:lineRule="auto"/>
              <w:jc w:val="left"/>
            </w:pPr>
            <w:r w:rsidRPr="00FF17EC">
              <w:t>Mehedinţi</w:t>
            </w:r>
          </w:p>
        </w:tc>
        <w:tc>
          <w:tcPr>
            <w:tcW w:w="3328" w:type="dxa"/>
            <w:vAlign w:val="center"/>
          </w:tcPr>
          <w:p w:rsidR="00E53F57" w:rsidRPr="00FF17EC" w:rsidRDefault="00E53F57" w:rsidP="00EF40E0">
            <w:pPr>
              <w:pStyle w:val="BodyText"/>
              <w:keepNext/>
              <w:spacing w:after="0" w:line="240" w:lineRule="auto"/>
              <w:jc w:val="left"/>
              <w:rPr>
                <w:b w:val="0"/>
              </w:rPr>
            </w:pPr>
            <w:r w:rsidRPr="00FF17EC">
              <w:rPr>
                <w:b w:val="0"/>
              </w:rPr>
              <w:t>Water supply: Out of the 65 settlements, only 43 have access to a water supply network. The existing 911 km of water supply network cover 5 towns and 38 communes. The volume of drinking water in 2011 is 9,341,000 cubic meters, decreasing with 23% from 2007.</w:t>
            </w:r>
          </w:p>
        </w:tc>
        <w:tc>
          <w:tcPr>
            <w:tcW w:w="4004" w:type="dxa"/>
            <w:vAlign w:val="center"/>
          </w:tcPr>
          <w:p w:rsidR="00E53F57" w:rsidRPr="00FF17EC" w:rsidRDefault="00E53F57" w:rsidP="00EF40E0">
            <w:pPr>
              <w:pStyle w:val="BodyText"/>
              <w:keepNext/>
              <w:spacing w:after="0" w:line="240" w:lineRule="auto"/>
              <w:jc w:val="left"/>
              <w:rPr>
                <w:b w:val="0"/>
              </w:rPr>
            </w:pPr>
            <w:r w:rsidRPr="00FF17EC">
              <w:rPr>
                <w:b w:val="0"/>
              </w:rPr>
              <w:t>The county is the last in the region related to the settlements access to sewage (with only 5 towns and 10 communes in 2011), and to the lengths of sewage network – 230,7 km, representing 11% of the total regional length.</w:t>
            </w:r>
          </w:p>
        </w:tc>
      </w:tr>
      <w:tr w:rsidR="008C403B" w:rsidRPr="00FF17EC" w:rsidTr="008C403B">
        <w:tc>
          <w:tcPr>
            <w:tcW w:w="1233" w:type="dxa"/>
            <w:vMerge w:val="restart"/>
            <w:vAlign w:val="center"/>
          </w:tcPr>
          <w:p w:rsidR="008C403B" w:rsidRPr="00FF17EC" w:rsidRDefault="008C403B" w:rsidP="00EF40E0">
            <w:pPr>
              <w:spacing w:after="0" w:line="240" w:lineRule="auto"/>
              <w:jc w:val="left"/>
              <w:rPr>
                <w:b/>
                <w:lang w:eastAsia="it-IT"/>
              </w:rPr>
            </w:pPr>
            <w:r w:rsidRPr="00FF17EC">
              <w:rPr>
                <w:b/>
                <w:lang w:eastAsia="it-IT"/>
              </w:rPr>
              <w:t>Serbia</w:t>
            </w: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Severno-Banatski</w:t>
            </w:r>
          </w:p>
        </w:tc>
        <w:tc>
          <w:tcPr>
            <w:tcW w:w="3328" w:type="dxa"/>
            <w:vAlign w:val="center"/>
          </w:tcPr>
          <w:p w:rsidR="008C403B" w:rsidRPr="00FF17EC" w:rsidRDefault="008C403B" w:rsidP="00EF40E0">
            <w:pPr>
              <w:spacing w:after="0" w:line="240" w:lineRule="auto"/>
              <w:jc w:val="left"/>
            </w:pPr>
            <w:r w:rsidRPr="00FF17EC">
              <w:t>Supplied drinking water –</w:t>
            </w:r>
            <w:r w:rsidRPr="00FF17EC">
              <w:rPr>
                <w:b/>
              </w:rPr>
              <w:t xml:space="preserve"> </w:t>
            </w:r>
            <w:r w:rsidRPr="00FF17EC">
              <w:rPr>
                <w:rFonts w:eastAsia="Arial" w:cs="Arial"/>
                <w:b/>
                <w:bCs/>
              </w:rPr>
              <w:t xml:space="preserve">7435000 </w:t>
            </w:r>
            <w:r w:rsidRPr="00FF17EC">
              <w:t>m3</w:t>
            </w:r>
          </w:p>
          <w:p w:rsidR="008C403B" w:rsidRPr="00FF17EC" w:rsidRDefault="008C403B" w:rsidP="00EF40E0">
            <w:pPr>
              <w:pStyle w:val="TableParagraph"/>
              <w:spacing w:line="240" w:lineRule="auto"/>
              <w:rPr>
                <w:rFonts w:ascii="Trebuchet MS" w:eastAsia="Arial" w:hAnsi="Trebuchet MS" w:cs="Arial"/>
              </w:rPr>
            </w:pPr>
            <w:r w:rsidRPr="00FF17EC">
              <w:rPr>
                <w:rFonts w:ascii="Trebuchet MS" w:hAnsi="Trebuchet MS"/>
              </w:rPr>
              <w:t xml:space="preserve">Number of households connected to the water supply network </w:t>
            </w:r>
            <w:r w:rsidRPr="00FF17EC">
              <w:rPr>
                <w:rFonts w:ascii="Trebuchet MS" w:hAnsi="Trebuchet MS"/>
                <w:b/>
              </w:rPr>
              <w:t xml:space="preserve">- </w:t>
            </w:r>
            <w:r w:rsidRPr="00FF17EC">
              <w:rPr>
                <w:rFonts w:ascii="Trebuchet MS" w:eastAsia="Arial" w:hAnsi="Trebuchet MS" w:cs="Arial"/>
                <w:b/>
                <w:bCs/>
              </w:rPr>
              <w:t>56784</w:t>
            </w:r>
          </w:p>
          <w:p w:rsidR="008C403B" w:rsidRPr="00FF17EC" w:rsidRDefault="008C403B" w:rsidP="00EF40E0">
            <w:pPr>
              <w:pStyle w:val="BodyText"/>
              <w:keepNext/>
              <w:spacing w:after="0" w:line="240" w:lineRule="auto"/>
              <w:jc w:val="left"/>
              <w:rPr>
                <w:b w:val="0"/>
                <w:lang w:val="en-US"/>
              </w:rPr>
            </w:pPr>
          </w:p>
          <w:p w:rsidR="008C403B" w:rsidRPr="00FF17EC" w:rsidRDefault="008C403B" w:rsidP="00EF40E0">
            <w:pPr>
              <w:pStyle w:val="NoSpacing"/>
              <w:jc w:val="left"/>
              <w:rPr>
                <w:rFonts w:ascii="Trebuchet MS" w:hAnsi="Trebuchet MS"/>
                <w:b/>
                <w:lang w:val="en-GB"/>
              </w:rPr>
            </w:pPr>
          </w:p>
        </w:tc>
        <w:tc>
          <w:tcPr>
            <w:tcW w:w="4004" w:type="dxa"/>
            <w:vAlign w:val="center"/>
          </w:tcPr>
          <w:p w:rsidR="008C403B" w:rsidRPr="00FF17EC" w:rsidRDefault="008C403B" w:rsidP="00EF40E0">
            <w:pPr>
              <w:pStyle w:val="TableParagraph"/>
              <w:spacing w:line="240" w:lineRule="auto"/>
              <w:rPr>
                <w:rFonts w:ascii="Trebuchet MS" w:eastAsia="Arial" w:hAnsi="Trebuchet MS" w:cs="Arial"/>
              </w:rPr>
            </w:pPr>
            <w:r w:rsidRPr="00FF17EC">
              <w:rPr>
                <w:rFonts w:ascii="Trebuchet MS" w:hAnsi="Trebuchet MS"/>
              </w:rPr>
              <w:t>The total discharged waste water –</w:t>
            </w:r>
            <w:r w:rsidRPr="00FF17EC">
              <w:rPr>
                <w:rFonts w:ascii="Trebuchet MS" w:hAnsi="Trebuchet MS"/>
                <w:b/>
              </w:rPr>
              <w:t xml:space="preserve"> </w:t>
            </w:r>
            <w:r w:rsidRPr="00FF17EC">
              <w:rPr>
                <w:rFonts w:ascii="Trebuchet MS" w:eastAsia="Arial" w:hAnsi="Trebuchet MS" w:cs="Arial"/>
                <w:b/>
                <w:bCs/>
              </w:rPr>
              <w:t xml:space="preserve">5374000 </w:t>
            </w:r>
            <w:r w:rsidRPr="00FF17EC">
              <w:rPr>
                <w:rFonts w:ascii="Trebuchet MS" w:hAnsi="Trebuchet MS"/>
              </w:rPr>
              <w:t>m3</w:t>
            </w:r>
          </w:p>
          <w:p w:rsidR="008C403B" w:rsidRPr="00FF17EC" w:rsidRDefault="008C403B" w:rsidP="00EF40E0">
            <w:pPr>
              <w:pStyle w:val="TableParagraph"/>
              <w:spacing w:line="240" w:lineRule="auto"/>
              <w:ind w:right="14"/>
              <w:rPr>
                <w:rFonts w:ascii="Trebuchet MS" w:eastAsia="Arial" w:hAnsi="Trebuchet MS" w:cs="Arial"/>
              </w:rPr>
            </w:pPr>
            <w:r w:rsidRPr="00FF17EC">
              <w:rPr>
                <w:rFonts w:ascii="Trebuchet MS" w:hAnsi="Trebuchet MS"/>
              </w:rPr>
              <w:t xml:space="preserve">Wastewater discharged from municipalities with a system for waste water </w:t>
            </w:r>
            <w:r w:rsidRPr="00FF17EC">
              <w:rPr>
                <w:rFonts w:ascii="Trebuchet MS" w:hAnsi="Trebuchet MS"/>
                <w:b/>
              </w:rPr>
              <w:t xml:space="preserve">– </w:t>
            </w:r>
            <w:r w:rsidRPr="00FF17EC">
              <w:rPr>
                <w:rFonts w:ascii="Trebuchet MS" w:eastAsia="Arial" w:hAnsi="Trebuchet MS" w:cs="Arial"/>
                <w:b/>
                <w:bCs/>
              </w:rPr>
              <w:t xml:space="preserve">3259000 </w:t>
            </w:r>
            <w:r w:rsidRPr="00FF17EC">
              <w:rPr>
                <w:rFonts w:ascii="Trebuchet MS" w:hAnsi="Trebuchet MS"/>
                <w:b/>
              </w:rPr>
              <w:t>m</w:t>
            </w:r>
            <w:r w:rsidRPr="00FF17EC">
              <w:rPr>
                <w:rFonts w:ascii="Trebuchet MS" w:hAnsi="Trebuchet MS"/>
              </w:rPr>
              <w:t>3</w:t>
            </w:r>
          </w:p>
          <w:p w:rsidR="008C403B" w:rsidRPr="00FF17EC" w:rsidRDefault="008C403B" w:rsidP="00EF40E0">
            <w:pPr>
              <w:pStyle w:val="TableParagraph"/>
              <w:spacing w:line="240" w:lineRule="auto"/>
              <w:ind w:right="14"/>
              <w:rPr>
                <w:rFonts w:ascii="Trebuchet MS" w:hAnsi="Trebuchet MS"/>
              </w:rPr>
            </w:pPr>
            <w:r w:rsidRPr="00FF17EC">
              <w:rPr>
                <w:rFonts w:ascii="Trebuchet MS" w:hAnsi="Trebuchet MS"/>
              </w:rPr>
              <w:t xml:space="preserve">Treated wastewater – </w:t>
            </w:r>
            <w:r w:rsidRPr="00FF17EC">
              <w:rPr>
                <w:rFonts w:ascii="Trebuchet MS" w:eastAsia="Arial" w:hAnsi="Trebuchet MS" w:cs="Arial"/>
                <w:b/>
                <w:bCs/>
              </w:rPr>
              <w:t xml:space="preserve">2599000 </w:t>
            </w:r>
            <w:r w:rsidRPr="00FF17EC">
              <w:rPr>
                <w:rFonts w:ascii="Trebuchet MS" w:hAnsi="Trebuchet MS"/>
              </w:rPr>
              <w:t>m3</w:t>
            </w:r>
          </w:p>
          <w:p w:rsidR="008C403B" w:rsidRPr="00FF17EC" w:rsidRDefault="008C403B" w:rsidP="009B7268">
            <w:pPr>
              <w:pStyle w:val="TableParagraph"/>
              <w:spacing w:line="240" w:lineRule="auto"/>
              <w:rPr>
                <w:rFonts w:ascii="Trebuchet MS" w:eastAsia="Arial" w:hAnsi="Trebuchet MS" w:cs="Arial"/>
              </w:rPr>
            </w:pPr>
            <w:r w:rsidRPr="00FF17EC">
              <w:rPr>
                <w:rFonts w:ascii="Trebuchet MS" w:hAnsi="Trebuchet MS"/>
              </w:rPr>
              <w:t xml:space="preserve">Number of households connected to </w:t>
            </w:r>
            <w:r w:rsidRPr="00FF17EC">
              <w:rPr>
                <w:rFonts w:ascii="Trebuchet MS" w:hAnsi="Trebuchet MS"/>
              </w:rPr>
              <w:lastRenderedPageBreak/>
              <w:t>the sewage network</w:t>
            </w:r>
            <w:r w:rsidRPr="00FF17EC">
              <w:rPr>
                <w:rFonts w:ascii="Trebuchet MS" w:hAnsi="Trebuchet MS"/>
                <w:b/>
              </w:rPr>
              <w:t xml:space="preserve"> - </w:t>
            </w:r>
            <w:r w:rsidRPr="00FF17EC">
              <w:rPr>
                <w:rFonts w:ascii="Trebuchet MS" w:eastAsia="Arial" w:hAnsi="Trebuchet MS" w:cs="Arial"/>
                <w:b/>
                <w:bCs/>
              </w:rPr>
              <w:t>20609</w:t>
            </w:r>
          </w:p>
        </w:tc>
      </w:tr>
      <w:tr w:rsidR="008C403B" w:rsidRPr="00FF17EC" w:rsidTr="008C403B">
        <w:tc>
          <w:tcPr>
            <w:tcW w:w="1233" w:type="dxa"/>
            <w:vMerge/>
            <w:vAlign w:val="center"/>
          </w:tcPr>
          <w:p w:rsidR="008C403B" w:rsidRPr="00FF17EC" w:rsidRDefault="008C403B" w:rsidP="00EF40E0">
            <w:pPr>
              <w:spacing w:after="0" w:line="240" w:lineRule="auto"/>
              <w:jc w:val="left"/>
              <w:rPr>
                <w:b/>
                <w:lang w:eastAsia="it-IT"/>
              </w:rPr>
            </w:pP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Srednje-Banatski</w:t>
            </w:r>
          </w:p>
        </w:tc>
        <w:tc>
          <w:tcPr>
            <w:tcW w:w="3328" w:type="dxa"/>
            <w:vAlign w:val="center"/>
          </w:tcPr>
          <w:p w:rsidR="008C403B" w:rsidRPr="00FF17EC" w:rsidRDefault="008C403B" w:rsidP="00EF40E0">
            <w:pPr>
              <w:pStyle w:val="TableParagraph"/>
              <w:spacing w:line="240" w:lineRule="auto"/>
              <w:rPr>
                <w:rFonts w:ascii="Trebuchet MS" w:eastAsia="Arial" w:hAnsi="Trebuchet MS" w:cs="Arial"/>
              </w:rPr>
            </w:pPr>
            <w:r w:rsidRPr="00FF17EC">
              <w:rPr>
                <w:rFonts w:ascii="Trebuchet MS" w:hAnsi="Trebuchet MS"/>
              </w:rPr>
              <w:t xml:space="preserve">Supplied drinking water – </w:t>
            </w:r>
            <w:r w:rsidRPr="00FF17EC">
              <w:rPr>
                <w:rFonts w:ascii="Trebuchet MS" w:eastAsia="Arial" w:hAnsi="Trebuchet MS" w:cs="Arial"/>
                <w:b/>
                <w:bCs/>
              </w:rPr>
              <w:t xml:space="preserve">11094000 </w:t>
            </w:r>
            <w:r w:rsidRPr="00FF17EC">
              <w:rPr>
                <w:rFonts w:ascii="Trebuchet MS" w:hAnsi="Trebuchet MS"/>
              </w:rPr>
              <w:t>m3</w:t>
            </w:r>
          </w:p>
          <w:p w:rsidR="008C403B" w:rsidRPr="00FF17EC" w:rsidRDefault="008C403B" w:rsidP="00EF40E0">
            <w:pPr>
              <w:pStyle w:val="TableParagraph"/>
              <w:spacing w:line="240" w:lineRule="auto"/>
              <w:rPr>
                <w:rFonts w:ascii="Trebuchet MS" w:eastAsia="Arial" w:hAnsi="Trebuchet MS" w:cs="Arial"/>
              </w:rPr>
            </w:pPr>
            <w:r w:rsidRPr="00FF17EC">
              <w:rPr>
                <w:rFonts w:ascii="Trebuchet MS" w:hAnsi="Trebuchet MS"/>
              </w:rPr>
              <w:t xml:space="preserve">Number of households connected to the water supply network </w:t>
            </w:r>
            <w:r w:rsidRPr="00FF17EC">
              <w:rPr>
                <w:rFonts w:ascii="Trebuchet MS" w:hAnsi="Trebuchet MS"/>
                <w:b/>
              </w:rPr>
              <w:t>-</w:t>
            </w:r>
            <w:r w:rsidRPr="00FF17EC">
              <w:rPr>
                <w:rFonts w:ascii="Trebuchet MS" w:eastAsia="Arial" w:hAnsi="Trebuchet MS" w:cs="Arial"/>
                <w:b/>
                <w:bCs/>
              </w:rPr>
              <w:t>72740</w:t>
            </w:r>
            <w:r w:rsidRPr="00FF17EC">
              <w:rPr>
                <w:rStyle w:val="FootnoteReference"/>
                <w:rFonts w:ascii="Trebuchet MS" w:eastAsia="Arial" w:hAnsi="Trebuchet MS"/>
                <w:bCs/>
              </w:rPr>
              <w:footnoteReference w:id="45"/>
            </w:r>
          </w:p>
          <w:p w:rsidR="008C403B" w:rsidRPr="00FF17EC" w:rsidRDefault="008C403B" w:rsidP="00EF40E0">
            <w:pPr>
              <w:pStyle w:val="BodyText"/>
              <w:keepNext/>
              <w:spacing w:after="0" w:line="240" w:lineRule="auto"/>
              <w:jc w:val="left"/>
              <w:rPr>
                <w:b w:val="0"/>
                <w:lang w:val="en-US"/>
              </w:rPr>
            </w:pPr>
          </w:p>
          <w:p w:rsidR="008C403B" w:rsidRPr="00FF17EC" w:rsidRDefault="008C403B" w:rsidP="00EF40E0">
            <w:pPr>
              <w:pStyle w:val="BodyText"/>
              <w:keepNext/>
              <w:spacing w:after="0" w:line="240" w:lineRule="auto"/>
              <w:jc w:val="left"/>
              <w:rPr>
                <w:b w:val="0"/>
              </w:rPr>
            </w:pPr>
          </w:p>
        </w:tc>
        <w:tc>
          <w:tcPr>
            <w:tcW w:w="4004" w:type="dxa"/>
            <w:vAlign w:val="center"/>
          </w:tcPr>
          <w:p w:rsidR="008C403B" w:rsidRPr="00FF17EC" w:rsidRDefault="008C403B" w:rsidP="00EF40E0">
            <w:pPr>
              <w:pStyle w:val="BodyText"/>
              <w:keepNext/>
              <w:spacing w:after="0" w:line="240" w:lineRule="auto"/>
              <w:jc w:val="left"/>
              <w:rPr>
                <w:b w:val="0"/>
              </w:rPr>
            </w:pPr>
            <w:r w:rsidRPr="00FF17EC">
              <w:rPr>
                <w:b w:val="0"/>
              </w:rPr>
              <w:t xml:space="preserve">The total discharged waste water – </w:t>
            </w:r>
            <w:r w:rsidRPr="00FF17EC">
              <w:rPr>
                <w:rFonts w:eastAsia="Arial" w:cs="Arial"/>
                <w:b w:val="0"/>
                <w:bCs/>
              </w:rPr>
              <w:t xml:space="preserve">8620000 </w:t>
            </w:r>
            <w:r w:rsidRPr="00FF17EC">
              <w:rPr>
                <w:b w:val="0"/>
              </w:rPr>
              <w:t>m3</w:t>
            </w:r>
          </w:p>
          <w:p w:rsidR="008C403B" w:rsidRPr="00FF17EC" w:rsidRDefault="008C403B" w:rsidP="00EF40E0">
            <w:pPr>
              <w:pStyle w:val="BodyText"/>
              <w:keepNext/>
              <w:spacing w:after="0" w:line="240" w:lineRule="auto"/>
              <w:jc w:val="left"/>
              <w:rPr>
                <w:b w:val="0"/>
              </w:rPr>
            </w:pPr>
            <w:r w:rsidRPr="00FF17EC">
              <w:rPr>
                <w:b w:val="0"/>
              </w:rPr>
              <w:t xml:space="preserve">Wastewater discharged from municipalities with a system for waste water- </w:t>
            </w:r>
            <w:r w:rsidRPr="00FF17EC">
              <w:rPr>
                <w:rFonts w:eastAsia="Arial" w:cs="Arial"/>
                <w:b w:val="0"/>
                <w:bCs/>
              </w:rPr>
              <w:t>5225000</w:t>
            </w:r>
            <w:r w:rsidRPr="00FF17EC">
              <w:rPr>
                <w:b w:val="0"/>
              </w:rPr>
              <w:t xml:space="preserve"> m3</w:t>
            </w:r>
          </w:p>
          <w:p w:rsidR="008C403B" w:rsidRPr="00FF17EC" w:rsidRDefault="008C403B" w:rsidP="00EF40E0">
            <w:pPr>
              <w:pStyle w:val="BodyText"/>
              <w:keepNext/>
              <w:spacing w:after="0" w:line="240" w:lineRule="auto"/>
              <w:jc w:val="left"/>
              <w:rPr>
                <w:b w:val="0"/>
              </w:rPr>
            </w:pPr>
            <w:r w:rsidRPr="00FF17EC">
              <w:rPr>
                <w:b w:val="0"/>
              </w:rPr>
              <w:t>Treated wastewater -0 m3</w:t>
            </w:r>
          </w:p>
          <w:p w:rsidR="008C403B" w:rsidRPr="00FF17EC" w:rsidRDefault="008C403B" w:rsidP="009B7268">
            <w:pPr>
              <w:pStyle w:val="TableParagraph"/>
              <w:spacing w:line="240" w:lineRule="auto"/>
              <w:rPr>
                <w:rFonts w:ascii="Trebuchet MS" w:eastAsia="Arial" w:hAnsi="Trebuchet MS" w:cs="Arial"/>
              </w:rPr>
            </w:pPr>
            <w:r w:rsidRPr="00FF17EC">
              <w:rPr>
                <w:rFonts w:ascii="Trebuchet MS" w:hAnsi="Trebuchet MS"/>
              </w:rPr>
              <w:t>Number of households connected to the sewage network</w:t>
            </w:r>
            <w:r w:rsidRPr="00FF17EC">
              <w:rPr>
                <w:rFonts w:ascii="Trebuchet MS" w:hAnsi="Trebuchet MS"/>
                <w:b/>
              </w:rPr>
              <w:t xml:space="preserve"> - </w:t>
            </w:r>
            <w:r w:rsidRPr="00FF17EC">
              <w:rPr>
                <w:rFonts w:ascii="Trebuchet MS" w:eastAsia="Arial" w:hAnsi="Trebuchet MS" w:cs="Arial"/>
                <w:b/>
                <w:bCs/>
              </w:rPr>
              <w:t>28953</w:t>
            </w:r>
          </w:p>
        </w:tc>
      </w:tr>
      <w:tr w:rsidR="008C403B" w:rsidRPr="00FF17EC" w:rsidTr="008C403B">
        <w:tc>
          <w:tcPr>
            <w:tcW w:w="1233" w:type="dxa"/>
            <w:vMerge/>
            <w:vAlign w:val="center"/>
          </w:tcPr>
          <w:p w:rsidR="008C403B" w:rsidRPr="00FF17EC" w:rsidRDefault="008C403B" w:rsidP="00EF40E0">
            <w:pPr>
              <w:spacing w:after="0" w:line="240" w:lineRule="auto"/>
              <w:jc w:val="left"/>
              <w:rPr>
                <w:b/>
                <w:lang w:eastAsia="it-IT"/>
              </w:rPr>
            </w:pP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Južno-Banatski</w:t>
            </w:r>
          </w:p>
        </w:tc>
        <w:tc>
          <w:tcPr>
            <w:tcW w:w="3328" w:type="dxa"/>
            <w:vAlign w:val="center"/>
          </w:tcPr>
          <w:p w:rsidR="008C403B" w:rsidRPr="00FF17EC" w:rsidRDefault="008C403B" w:rsidP="00EF40E0">
            <w:pPr>
              <w:pStyle w:val="TableParagraph"/>
              <w:spacing w:line="240" w:lineRule="auto"/>
              <w:rPr>
                <w:rFonts w:ascii="Trebuchet MS" w:hAnsi="Trebuchet MS"/>
              </w:rPr>
            </w:pPr>
            <w:r w:rsidRPr="00FF17EC">
              <w:rPr>
                <w:rFonts w:ascii="Trebuchet MS" w:hAnsi="Trebuchet MS"/>
              </w:rPr>
              <w:t>Supplied drinking water -</w:t>
            </w:r>
            <w:r w:rsidRPr="00FF17EC">
              <w:rPr>
                <w:rFonts w:ascii="Trebuchet MS" w:hAnsi="Trebuchet MS"/>
                <w:b/>
              </w:rPr>
              <w:t xml:space="preserve"> </w:t>
            </w:r>
            <w:r w:rsidRPr="00FF17EC">
              <w:rPr>
                <w:rFonts w:ascii="Trebuchet MS" w:eastAsia="Arial" w:hAnsi="Trebuchet MS" w:cs="Arial"/>
                <w:b/>
                <w:bCs/>
              </w:rPr>
              <w:t>21729000</w:t>
            </w:r>
            <w:r w:rsidRPr="00FF17EC">
              <w:rPr>
                <w:rFonts w:ascii="Trebuchet MS" w:hAnsi="Trebuchet MS"/>
              </w:rPr>
              <w:t xml:space="preserve"> m3</w:t>
            </w:r>
          </w:p>
          <w:p w:rsidR="008C403B" w:rsidRPr="00FF17EC" w:rsidRDefault="008C403B" w:rsidP="00EF40E0">
            <w:pPr>
              <w:pStyle w:val="TableParagraph"/>
              <w:spacing w:line="240" w:lineRule="auto"/>
              <w:rPr>
                <w:rFonts w:ascii="Trebuchet MS" w:eastAsia="Arial" w:hAnsi="Trebuchet MS" w:cs="Arial"/>
              </w:rPr>
            </w:pPr>
            <w:r w:rsidRPr="00FF17EC">
              <w:rPr>
                <w:rFonts w:ascii="Trebuchet MS" w:hAnsi="Trebuchet MS"/>
              </w:rPr>
              <w:t xml:space="preserve">Number of households connected to the water supply network </w:t>
            </w:r>
            <w:r w:rsidRPr="00FF17EC">
              <w:rPr>
                <w:rFonts w:ascii="Trebuchet MS" w:hAnsi="Trebuchet MS"/>
                <w:b/>
              </w:rPr>
              <w:t xml:space="preserve">- </w:t>
            </w:r>
            <w:r w:rsidRPr="00FF17EC">
              <w:rPr>
                <w:rFonts w:ascii="Trebuchet MS" w:eastAsia="Arial" w:hAnsi="Trebuchet MS" w:cs="Arial"/>
                <w:b/>
                <w:bCs/>
              </w:rPr>
              <w:t>105919</w:t>
            </w:r>
          </w:p>
          <w:p w:rsidR="008C403B" w:rsidRPr="00FF17EC" w:rsidRDefault="008C403B" w:rsidP="00EF40E0">
            <w:pPr>
              <w:pStyle w:val="BodyText"/>
              <w:keepNext/>
              <w:spacing w:after="0" w:line="240" w:lineRule="auto"/>
              <w:jc w:val="left"/>
              <w:rPr>
                <w:b w:val="0"/>
                <w:lang w:val="en-US"/>
              </w:rPr>
            </w:pPr>
          </w:p>
          <w:p w:rsidR="008C403B" w:rsidRPr="00FF17EC" w:rsidRDefault="008C403B" w:rsidP="00EF40E0">
            <w:pPr>
              <w:pStyle w:val="BodyText"/>
              <w:keepNext/>
              <w:spacing w:after="0" w:line="240" w:lineRule="auto"/>
              <w:jc w:val="left"/>
              <w:rPr>
                <w:b w:val="0"/>
              </w:rPr>
            </w:pPr>
          </w:p>
        </w:tc>
        <w:tc>
          <w:tcPr>
            <w:tcW w:w="4004" w:type="dxa"/>
            <w:vAlign w:val="center"/>
          </w:tcPr>
          <w:p w:rsidR="008C403B" w:rsidRPr="00FF17EC" w:rsidRDefault="008C403B" w:rsidP="00EF40E0">
            <w:pPr>
              <w:pStyle w:val="TableParagraph"/>
              <w:spacing w:line="240" w:lineRule="auto"/>
              <w:ind w:right="13"/>
              <w:rPr>
                <w:rFonts w:ascii="Trebuchet MS" w:hAnsi="Trebuchet MS"/>
              </w:rPr>
            </w:pPr>
            <w:r w:rsidRPr="00FF17EC">
              <w:rPr>
                <w:rFonts w:ascii="Trebuchet MS" w:hAnsi="Trebuchet MS"/>
              </w:rPr>
              <w:t>The total discharged waste water –</w:t>
            </w:r>
            <w:r w:rsidRPr="00FF17EC">
              <w:rPr>
                <w:rFonts w:ascii="Trebuchet MS" w:hAnsi="Trebuchet MS"/>
                <w:b/>
              </w:rPr>
              <w:t xml:space="preserve"> </w:t>
            </w:r>
            <w:r w:rsidRPr="00FF17EC">
              <w:rPr>
                <w:rFonts w:ascii="Trebuchet MS" w:eastAsia="Arial" w:hAnsi="Trebuchet MS" w:cs="Arial"/>
                <w:b/>
                <w:bCs/>
              </w:rPr>
              <w:t xml:space="preserve">13355000 </w:t>
            </w:r>
            <w:r w:rsidRPr="00FF17EC">
              <w:rPr>
                <w:rFonts w:ascii="Trebuchet MS" w:hAnsi="Trebuchet MS"/>
              </w:rPr>
              <w:t>m3</w:t>
            </w:r>
          </w:p>
          <w:p w:rsidR="008C403B" w:rsidRPr="00FF17EC" w:rsidRDefault="008C403B" w:rsidP="00EF40E0">
            <w:pPr>
              <w:pStyle w:val="BodyText"/>
              <w:keepNext/>
              <w:spacing w:after="0" w:line="240" w:lineRule="auto"/>
              <w:jc w:val="left"/>
              <w:rPr>
                <w:b w:val="0"/>
              </w:rPr>
            </w:pPr>
            <w:r w:rsidRPr="00FF17EC">
              <w:rPr>
                <w:b w:val="0"/>
              </w:rPr>
              <w:t xml:space="preserve">Wastewater discharged from municipalities with a system for waste water - </w:t>
            </w:r>
            <w:r w:rsidRPr="00FF17EC">
              <w:rPr>
                <w:rFonts w:eastAsia="Arial" w:cs="Arial"/>
                <w:b w:val="0"/>
                <w:bCs/>
              </w:rPr>
              <w:t>9223000</w:t>
            </w:r>
            <w:r w:rsidRPr="00FF17EC">
              <w:rPr>
                <w:b w:val="0"/>
              </w:rPr>
              <w:t xml:space="preserve"> m3</w:t>
            </w:r>
          </w:p>
          <w:p w:rsidR="008C403B" w:rsidRPr="00FF17EC" w:rsidRDefault="008C403B" w:rsidP="00EF40E0">
            <w:pPr>
              <w:pStyle w:val="TableParagraph"/>
              <w:spacing w:line="240" w:lineRule="auto"/>
              <w:ind w:right="14"/>
              <w:rPr>
                <w:rFonts w:ascii="Trebuchet MS" w:hAnsi="Trebuchet MS"/>
              </w:rPr>
            </w:pPr>
            <w:r w:rsidRPr="00FF17EC">
              <w:rPr>
                <w:rFonts w:ascii="Trebuchet MS" w:hAnsi="Trebuchet MS"/>
              </w:rPr>
              <w:t xml:space="preserve">Treated wastewater – </w:t>
            </w:r>
            <w:r w:rsidRPr="00FF17EC">
              <w:rPr>
                <w:rFonts w:ascii="Trebuchet MS" w:eastAsia="Arial" w:hAnsi="Trebuchet MS" w:cs="Arial"/>
                <w:b/>
                <w:bCs/>
              </w:rPr>
              <w:t xml:space="preserve">2708000 </w:t>
            </w:r>
            <w:r w:rsidRPr="00FF17EC">
              <w:rPr>
                <w:rFonts w:ascii="Trebuchet MS" w:hAnsi="Trebuchet MS"/>
              </w:rPr>
              <w:t>m3</w:t>
            </w:r>
          </w:p>
          <w:p w:rsidR="008C403B" w:rsidRPr="00FF17EC" w:rsidRDefault="008C403B" w:rsidP="009B7268">
            <w:pPr>
              <w:pStyle w:val="TableParagraph"/>
              <w:spacing w:line="240" w:lineRule="auto"/>
              <w:ind w:left="515"/>
              <w:rPr>
                <w:rFonts w:ascii="Trebuchet MS" w:eastAsia="Arial" w:hAnsi="Trebuchet MS" w:cs="Arial"/>
              </w:rPr>
            </w:pPr>
            <w:r w:rsidRPr="00FF17EC">
              <w:rPr>
                <w:rFonts w:ascii="Trebuchet MS" w:hAnsi="Trebuchet MS"/>
              </w:rPr>
              <w:t>Number of households connected to the sewage network</w:t>
            </w:r>
            <w:r w:rsidRPr="00FF17EC">
              <w:rPr>
                <w:rFonts w:ascii="Trebuchet MS" w:hAnsi="Trebuchet MS"/>
                <w:b/>
              </w:rPr>
              <w:t xml:space="preserve"> - </w:t>
            </w:r>
            <w:r w:rsidRPr="00FF17EC">
              <w:rPr>
                <w:rFonts w:ascii="Trebuchet MS" w:eastAsia="Arial" w:hAnsi="Trebuchet MS" w:cs="Arial"/>
                <w:b/>
                <w:bCs/>
              </w:rPr>
              <w:t>51057</w:t>
            </w:r>
          </w:p>
        </w:tc>
      </w:tr>
      <w:tr w:rsidR="008C403B" w:rsidRPr="00FF17EC" w:rsidTr="008C403B">
        <w:tc>
          <w:tcPr>
            <w:tcW w:w="1233" w:type="dxa"/>
            <w:vMerge/>
            <w:vAlign w:val="center"/>
          </w:tcPr>
          <w:p w:rsidR="008C403B" w:rsidRPr="00FF17EC" w:rsidRDefault="008C403B" w:rsidP="00EF40E0">
            <w:pPr>
              <w:spacing w:after="0" w:line="240" w:lineRule="auto"/>
              <w:jc w:val="left"/>
              <w:rPr>
                <w:b/>
                <w:lang w:eastAsia="it-IT"/>
              </w:rPr>
            </w:pP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Braničevski</w:t>
            </w:r>
          </w:p>
        </w:tc>
        <w:tc>
          <w:tcPr>
            <w:tcW w:w="3328" w:type="dxa"/>
            <w:vAlign w:val="center"/>
          </w:tcPr>
          <w:p w:rsidR="008C403B" w:rsidRPr="00FF17EC" w:rsidRDefault="008C403B" w:rsidP="00EF40E0">
            <w:pPr>
              <w:spacing w:after="0" w:line="240" w:lineRule="auto"/>
              <w:jc w:val="left"/>
            </w:pPr>
            <w:r w:rsidRPr="00FF17EC">
              <w:t>Supplied drinking water -</w:t>
            </w:r>
            <w:r w:rsidRPr="00FF17EC">
              <w:rPr>
                <w:b/>
              </w:rPr>
              <w:t xml:space="preserve"> </w:t>
            </w:r>
            <w:r w:rsidRPr="00FF17EC">
              <w:rPr>
                <w:rFonts w:eastAsia="Arial" w:cs="Arial"/>
                <w:b/>
                <w:bCs/>
              </w:rPr>
              <w:t>7633000</w:t>
            </w:r>
            <w:r w:rsidRPr="00FF17EC">
              <w:t xml:space="preserve"> m3</w:t>
            </w:r>
          </w:p>
          <w:p w:rsidR="008C403B" w:rsidRPr="00FF17EC" w:rsidRDefault="008C403B" w:rsidP="00EF40E0">
            <w:pPr>
              <w:spacing w:after="0" w:line="240" w:lineRule="auto"/>
              <w:jc w:val="left"/>
            </w:pPr>
            <w:r w:rsidRPr="00FF17EC">
              <w:t xml:space="preserve">Number of households connected to the water supply network </w:t>
            </w:r>
            <w:r w:rsidRPr="00FF17EC">
              <w:rPr>
                <w:b/>
              </w:rPr>
              <w:t xml:space="preserve">- </w:t>
            </w:r>
            <w:r w:rsidRPr="00FF17EC">
              <w:rPr>
                <w:rFonts w:eastAsia="Arial" w:cs="Arial"/>
                <w:b/>
                <w:bCs/>
              </w:rPr>
              <w:t>40295</w:t>
            </w:r>
          </w:p>
          <w:p w:rsidR="008C403B" w:rsidRPr="00FF17EC" w:rsidRDefault="008C403B" w:rsidP="00EF40E0">
            <w:pPr>
              <w:pStyle w:val="BodyText"/>
              <w:keepNext/>
              <w:spacing w:after="0" w:line="240" w:lineRule="auto"/>
              <w:jc w:val="left"/>
              <w:rPr>
                <w:b w:val="0"/>
                <w:lang w:val="en-US"/>
              </w:rPr>
            </w:pPr>
          </w:p>
          <w:p w:rsidR="008C403B" w:rsidRPr="00FF17EC" w:rsidRDefault="008C403B" w:rsidP="00EF40E0">
            <w:pPr>
              <w:pStyle w:val="BodyText"/>
              <w:keepNext/>
              <w:spacing w:after="0" w:line="240" w:lineRule="auto"/>
              <w:jc w:val="left"/>
              <w:rPr>
                <w:b w:val="0"/>
              </w:rPr>
            </w:pPr>
          </w:p>
        </w:tc>
        <w:tc>
          <w:tcPr>
            <w:tcW w:w="4004" w:type="dxa"/>
            <w:vAlign w:val="center"/>
          </w:tcPr>
          <w:p w:rsidR="008C403B" w:rsidRPr="00FF17EC" w:rsidRDefault="008C403B" w:rsidP="00EF40E0">
            <w:pPr>
              <w:spacing w:after="0" w:line="240" w:lineRule="auto"/>
              <w:jc w:val="left"/>
            </w:pPr>
            <w:r w:rsidRPr="00FF17EC">
              <w:t>The total discharged waste water –</w:t>
            </w:r>
            <w:r w:rsidRPr="00FF17EC">
              <w:rPr>
                <w:b/>
              </w:rPr>
              <w:t xml:space="preserve"> </w:t>
            </w:r>
            <w:r w:rsidRPr="00FF17EC">
              <w:rPr>
                <w:rFonts w:eastAsia="Arial" w:cs="Arial"/>
                <w:b/>
                <w:bCs/>
              </w:rPr>
              <w:t xml:space="preserve">4963000 </w:t>
            </w:r>
            <w:r w:rsidRPr="00FF17EC">
              <w:t>m3</w:t>
            </w:r>
          </w:p>
          <w:p w:rsidR="008C403B" w:rsidRPr="00FF17EC" w:rsidRDefault="008C403B" w:rsidP="00EF40E0">
            <w:pPr>
              <w:spacing w:after="0" w:line="240" w:lineRule="auto"/>
              <w:jc w:val="left"/>
            </w:pPr>
            <w:r w:rsidRPr="00FF17EC">
              <w:t>Wastewater discharged from municipalities with a system for waste water</w:t>
            </w:r>
            <w:r w:rsidRPr="00FF17EC">
              <w:rPr>
                <w:b/>
              </w:rPr>
              <w:t xml:space="preserve"> - </w:t>
            </w:r>
            <w:r w:rsidRPr="00FF17EC">
              <w:rPr>
                <w:rFonts w:eastAsia="Arial" w:cs="Arial"/>
                <w:b/>
                <w:bCs/>
              </w:rPr>
              <w:t>4575000</w:t>
            </w:r>
            <w:r w:rsidRPr="00FF17EC">
              <w:t xml:space="preserve"> m3</w:t>
            </w:r>
          </w:p>
          <w:p w:rsidR="008C403B" w:rsidRPr="00FF17EC" w:rsidRDefault="008C403B" w:rsidP="00EF40E0">
            <w:pPr>
              <w:pStyle w:val="BodyText"/>
              <w:keepNext/>
              <w:spacing w:after="0" w:line="240" w:lineRule="auto"/>
              <w:jc w:val="left"/>
              <w:rPr>
                <w:b w:val="0"/>
              </w:rPr>
            </w:pPr>
            <w:r w:rsidRPr="00FF17EC">
              <w:rPr>
                <w:b w:val="0"/>
              </w:rPr>
              <w:t>Treated wastewater - m3</w:t>
            </w:r>
          </w:p>
          <w:p w:rsidR="008C403B" w:rsidRPr="00FF17EC" w:rsidRDefault="008C403B" w:rsidP="00EF40E0">
            <w:pPr>
              <w:spacing w:after="0" w:line="240" w:lineRule="auto"/>
              <w:jc w:val="left"/>
            </w:pPr>
            <w:r w:rsidRPr="00FF17EC">
              <w:t>Number of households connected to the sewage network</w:t>
            </w:r>
            <w:r w:rsidRPr="00FF17EC">
              <w:rPr>
                <w:b/>
              </w:rPr>
              <w:t xml:space="preserve"> -</w:t>
            </w:r>
            <w:r w:rsidRPr="00FF17EC">
              <w:rPr>
                <w:rFonts w:eastAsia="Arial" w:cs="Arial"/>
                <w:b/>
                <w:bCs/>
              </w:rPr>
              <w:t>22063</w:t>
            </w:r>
          </w:p>
        </w:tc>
      </w:tr>
      <w:tr w:rsidR="008C403B" w:rsidRPr="00FF17EC" w:rsidTr="008C403B">
        <w:trPr>
          <w:trHeight w:val="1693"/>
        </w:trPr>
        <w:tc>
          <w:tcPr>
            <w:tcW w:w="1233" w:type="dxa"/>
            <w:vMerge/>
            <w:vAlign w:val="center"/>
          </w:tcPr>
          <w:p w:rsidR="008C403B" w:rsidRPr="00FF17EC" w:rsidRDefault="008C403B" w:rsidP="00393059">
            <w:pPr>
              <w:keepNext/>
              <w:keepLines/>
              <w:spacing w:after="0" w:line="240" w:lineRule="auto"/>
              <w:jc w:val="left"/>
              <w:rPr>
                <w:b/>
                <w:lang w:eastAsia="it-IT"/>
              </w:rPr>
            </w:pPr>
          </w:p>
        </w:tc>
        <w:tc>
          <w:tcPr>
            <w:tcW w:w="1324" w:type="dxa"/>
            <w:vAlign w:val="center"/>
          </w:tcPr>
          <w:p w:rsidR="008C403B" w:rsidRPr="00FF17EC" w:rsidRDefault="008C403B" w:rsidP="00393059">
            <w:pPr>
              <w:pStyle w:val="BodyText"/>
              <w:keepNext/>
              <w:keepLines/>
              <w:spacing w:after="0" w:line="240" w:lineRule="auto"/>
              <w:jc w:val="left"/>
              <w:rPr>
                <w:b w:val="0"/>
              </w:rPr>
            </w:pPr>
            <w:r w:rsidRPr="00FF17EC">
              <w:rPr>
                <w:b w:val="0"/>
              </w:rPr>
              <w:t>Borski</w:t>
            </w:r>
          </w:p>
        </w:tc>
        <w:tc>
          <w:tcPr>
            <w:tcW w:w="3328" w:type="dxa"/>
            <w:vAlign w:val="center"/>
          </w:tcPr>
          <w:p w:rsidR="008C403B" w:rsidRPr="00FF17EC" w:rsidRDefault="008C403B" w:rsidP="00393059">
            <w:pPr>
              <w:keepNext/>
              <w:keepLines/>
              <w:spacing w:after="0" w:line="240" w:lineRule="auto"/>
              <w:jc w:val="left"/>
            </w:pPr>
            <w:r w:rsidRPr="00FF17EC">
              <w:t xml:space="preserve">Supplied drinking water – </w:t>
            </w:r>
            <w:r w:rsidRPr="00FF17EC">
              <w:rPr>
                <w:rFonts w:eastAsia="Arial" w:cs="Arial"/>
                <w:b/>
                <w:bCs/>
              </w:rPr>
              <w:t xml:space="preserve">8644000 </w:t>
            </w:r>
            <w:r w:rsidRPr="00FF17EC">
              <w:t>m3</w:t>
            </w:r>
          </w:p>
          <w:p w:rsidR="008C403B" w:rsidRPr="00FF17EC" w:rsidRDefault="008C403B" w:rsidP="00393059">
            <w:pPr>
              <w:pStyle w:val="TableParagraph"/>
              <w:keepNext/>
              <w:keepLines/>
              <w:spacing w:line="240" w:lineRule="auto"/>
              <w:ind w:left="515"/>
              <w:rPr>
                <w:rFonts w:ascii="Trebuchet MS" w:eastAsia="Arial" w:hAnsi="Trebuchet MS" w:cs="Arial"/>
              </w:rPr>
            </w:pPr>
            <w:r w:rsidRPr="00FF17EC">
              <w:rPr>
                <w:rFonts w:ascii="Trebuchet MS" w:hAnsi="Trebuchet MS"/>
              </w:rPr>
              <w:t xml:space="preserve">Number of households connected to the water supply network </w:t>
            </w:r>
            <w:r w:rsidRPr="00FF17EC">
              <w:rPr>
                <w:rFonts w:ascii="Trebuchet MS" w:hAnsi="Trebuchet MS"/>
                <w:b/>
              </w:rPr>
              <w:t xml:space="preserve">- </w:t>
            </w:r>
            <w:r w:rsidRPr="00FF17EC">
              <w:rPr>
                <w:rFonts w:ascii="Trebuchet MS" w:eastAsia="Arial" w:hAnsi="Trebuchet MS" w:cs="Arial"/>
                <w:b/>
                <w:bCs/>
              </w:rPr>
              <w:t>35330</w:t>
            </w:r>
          </w:p>
          <w:p w:rsidR="008C403B" w:rsidRPr="00FF17EC" w:rsidRDefault="008C403B" w:rsidP="00393059">
            <w:pPr>
              <w:pStyle w:val="BodyText"/>
              <w:keepNext/>
              <w:keepLines/>
              <w:spacing w:after="0" w:line="240" w:lineRule="auto"/>
              <w:jc w:val="left"/>
              <w:rPr>
                <w:b w:val="0"/>
                <w:lang w:val="en-US"/>
              </w:rPr>
            </w:pPr>
          </w:p>
          <w:p w:rsidR="008C403B" w:rsidRPr="00FF17EC" w:rsidRDefault="008C403B" w:rsidP="00393059">
            <w:pPr>
              <w:pStyle w:val="BodyText"/>
              <w:keepNext/>
              <w:keepLines/>
              <w:spacing w:after="0" w:line="240" w:lineRule="auto"/>
              <w:jc w:val="left"/>
              <w:rPr>
                <w:b w:val="0"/>
              </w:rPr>
            </w:pPr>
          </w:p>
        </w:tc>
        <w:tc>
          <w:tcPr>
            <w:tcW w:w="4004" w:type="dxa"/>
            <w:vAlign w:val="center"/>
          </w:tcPr>
          <w:p w:rsidR="008C403B" w:rsidRPr="00FF17EC" w:rsidRDefault="008C403B" w:rsidP="00393059">
            <w:pPr>
              <w:keepNext/>
              <w:keepLines/>
              <w:spacing w:after="0" w:line="240" w:lineRule="auto"/>
              <w:jc w:val="left"/>
            </w:pPr>
            <w:r w:rsidRPr="00FF17EC">
              <w:t>The total discharged waste water –</w:t>
            </w:r>
            <w:r w:rsidRPr="00FF17EC">
              <w:rPr>
                <w:b/>
              </w:rPr>
              <w:t xml:space="preserve"> </w:t>
            </w:r>
            <w:r w:rsidRPr="00FF17EC">
              <w:rPr>
                <w:rFonts w:eastAsia="Arial" w:cs="Arial"/>
                <w:b/>
                <w:bCs/>
              </w:rPr>
              <w:t xml:space="preserve">5281000 </w:t>
            </w:r>
            <w:r w:rsidRPr="00FF17EC">
              <w:t>m3</w:t>
            </w:r>
          </w:p>
          <w:p w:rsidR="008C403B" w:rsidRPr="00FF17EC" w:rsidRDefault="008C403B" w:rsidP="00393059">
            <w:pPr>
              <w:pStyle w:val="BodyText"/>
              <w:keepNext/>
              <w:keepLines/>
              <w:spacing w:after="0" w:line="240" w:lineRule="auto"/>
              <w:jc w:val="left"/>
              <w:rPr>
                <w:b w:val="0"/>
              </w:rPr>
            </w:pPr>
            <w:r w:rsidRPr="00FF17EC">
              <w:rPr>
                <w:b w:val="0"/>
              </w:rPr>
              <w:t xml:space="preserve">Wastewater discharged from municipalities with a system for waste water - </w:t>
            </w:r>
            <w:r w:rsidRPr="00FF17EC">
              <w:rPr>
                <w:rFonts w:eastAsia="Arial" w:cs="Arial"/>
                <w:bCs/>
              </w:rPr>
              <w:t>5281000</w:t>
            </w:r>
            <w:r w:rsidRPr="00FF17EC">
              <w:rPr>
                <w:b w:val="0"/>
              </w:rPr>
              <w:t xml:space="preserve"> m3</w:t>
            </w:r>
          </w:p>
          <w:p w:rsidR="008C403B" w:rsidRPr="00FF17EC" w:rsidRDefault="008C403B" w:rsidP="00393059">
            <w:pPr>
              <w:pStyle w:val="BodyText"/>
              <w:keepNext/>
              <w:keepLines/>
              <w:spacing w:after="0" w:line="240" w:lineRule="auto"/>
              <w:jc w:val="left"/>
              <w:rPr>
                <w:b w:val="0"/>
              </w:rPr>
            </w:pPr>
            <w:r w:rsidRPr="00FF17EC">
              <w:rPr>
                <w:b w:val="0"/>
              </w:rPr>
              <w:t>Treated wastewater - 8000 m3</w:t>
            </w:r>
          </w:p>
          <w:p w:rsidR="008C403B" w:rsidRPr="00FF17EC" w:rsidRDefault="008C403B" w:rsidP="00393059">
            <w:pPr>
              <w:keepNext/>
              <w:keepLines/>
              <w:spacing w:after="0" w:line="240" w:lineRule="auto"/>
              <w:jc w:val="left"/>
            </w:pPr>
            <w:r w:rsidRPr="00FF17EC">
              <w:t>Number of households connected to the sewage network</w:t>
            </w:r>
            <w:r w:rsidRPr="00FF17EC">
              <w:rPr>
                <w:b/>
              </w:rPr>
              <w:t xml:space="preserve"> – </w:t>
            </w:r>
            <w:r w:rsidRPr="00FF17EC">
              <w:rPr>
                <w:rFonts w:eastAsia="Arial" w:cs="Arial"/>
                <w:b/>
                <w:bCs/>
              </w:rPr>
              <w:t>22333</w:t>
            </w:r>
          </w:p>
        </w:tc>
      </w:tr>
      <w:tr w:rsidR="008C403B" w:rsidRPr="00FF17EC" w:rsidTr="008C403B">
        <w:trPr>
          <w:trHeight w:val="1693"/>
        </w:trPr>
        <w:tc>
          <w:tcPr>
            <w:tcW w:w="1233" w:type="dxa"/>
            <w:vMerge/>
            <w:vAlign w:val="center"/>
          </w:tcPr>
          <w:p w:rsidR="008C403B" w:rsidRPr="00FF17EC" w:rsidRDefault="008C403B" w:rsidP="00393059">
            <w:pPr>
              <w:keepNext/>
              <w:keepLines/>
              <w:spacing w:after="0" w:line="240" w:lineRule="auto"/>
              <w:jc w:val="left"/>
              <w:rPr>
                <w:b/>
                <w:lang w:eastAsia="it-IT"/>
              </w:rPr>
            </w:pPr>
          </w:p>
        </w:tc>
        <w:tc>
          <w:tcPr>
            <w:tcW w:w="1324" w:type="dxa"/>
            <w:vAlign w:val="center"/>
          </w:tcPr>
          <w:p w:rsidR="008C403B" w:rsidRPr="00FF17EC" w:rsidRDefault="008C403B" w:rsidP="008C403B">
            <w:pPr>
              <w:pStyle w:val="BodyText"/>
              <w:keepNext/>
              <w:keepLines/>
              <w:spacing w:after="0" w:line="240" w:lineRule="auto"/>
              <w:jc w:val="left"/>
              <w:rPr>
                <w:b w:val="0"/>
              </w:rPr>
            </w:pPr>
            <w:r w:rsidRPr="00FF17EC">
              <w:rPr>
                <w:b w:val="0"/>
              </w:rPr>
              <w:t>Podunavski</w:t>
            </w:r>
          </w:p>
        </w:tc>
        <w:tc>
          <w:tcPr>
            <w:tcW w:w="3328" w:type="dxa"/>
            <w:vAlign w:val="center"/>
          </w:tcPr>
          <w:p w:rsidR="008C403B" w:rsidRPr="00FF17EC" w:rsidRDefault="008C403B" w:rsidP="008C403B">
            <w:pPr>
              <w:pStyle w:val="TableParagraph"/>
              <w:keepLines/>
              <w:spacing w:before="58" w:line="240" w:lineRule="auto"/>
              <w:ind w:right="31"/>
              <w:rPr>
                <w:rFonts w:ascii="Trebuchet MS" w:eastAsia="Times New Roman" w:hAnsi="Trebuchet MS" w:cs="Trebuchet MS"/>
              </w:rPr>
            </w:pPr>
            <w:r w:rsidRPr="00FF17EC">
              <w:rPr>
                <w:rFonts w:ascii="Trebuchet MS" w:eastAsia="Times New Roman" w:hAnsi="Trebuchet MS" w:cs="Trebuchet MS"/>
              </w:rPr>
              <w:t xml:space="preserve">Supplied drinking water – </w:t>
            </w:r>
            <w:r w:rsidRPr="00FF17EC">
              <w:rPr>
                <w:rFonts w:ascii="Trebuchet MS" w:eastAsia="Times New Roman" w:hAnsi="Trebuchet MS" w:cs="Trebuchet MS"/>
                <w:b/>
              </w:rPr>
              <w:t>9293000</w:t>
            </w:r>
            <w:r w:rsidRPr="00FF17EC">
              <w:rPr>
                <w:rFonts w:ascii="Trebuchet MS" w:eastAsia="Times New Roman" w:hAnsi="Trebuchet MS" w:cs="Trebuchet MS"/>
              </w:rPr>
              <w:t xml:space="preserve"> m3</w:t>
            </w:r>
          </w:p>
          <w:p w:rsidR="008C403B" w:rsidRPr="00FF17EC" w:rsidRDefault="008C403B" w:rsidP="008C403B">
            <w:pPr>
              <w:pStyle w:val="TableParagraph"/>
              <w:keepLines/>
              <w:spacing w:before="58" w:line="240" w:lineRule="auto"/>
              <w:ind w:right="31"/>
              <w:rPr>
                <w:rFonts w:ascii="Trebuchet MS" w:eastAsia="Times New Roman" w:hAnsi="Trebuchet MS" w:cs="Trebuchet MS"/>
              </w:rPr>
            </w:pPr>
            <w:r w:rsidRPr="00FF17EC">
              <w:rPr>
                <w:rFonts w:ascii="Trebuchet MS" w:eastAsia="Times New Roman" w:hAnsi="Trebuchet MS" w:cs="Trebuchet MS"/>
              </w:rPr>
              <w:t xml:space="preserve"> </w:t>
            </w:r>
          </w:p>
          <w:p w:rsidR="008C403B" w:rsidRPr="00FF17EC" w:rsidRDefault="008C403B" w:rsidP="008C403B">
            <w:pPr>
              <w:pStyle w:val="TableParagraph"/>
              <w:keepLines/>
              <w:spacing w:before="58" w:line="240" w:lineRule="auto"/>
              <w:ind w:left="497" w:right="12"/>
              <w:rPr>
                <w:rFonts w:ascii="Trebuchet MS" w:eastAsia="Times New Roman" w:hAnsi="Trebuchet MS" w:cs="Trebuchet MS"/>
              </w:rPr>
            </w:pPr>
            <w:r w:rsidRPr="00FF17EC">
              <w:rPr>
                <w:rFonts w:ascii="Trebuchet MS" w:eastAsia="Times New Roman" w:hAnsi="Trebuchet MS" w:cs="Trebuchet MS"/>
              </w:rPr>
              <w:t xml:space="preserve">Number of households connected to the water supply network - </w:t>
            </w:r>
            <w:r w:rsidRPr="00FF17EC">
              <w:rPr>
                <w:rFonts w:ascii="Trebuchet MS" w:eastAsia="Times New Roman" w:hAnsi="Trebuchet MS" w:cs="Trebuchet MS"/>
                <w:b/>
              </w:rPr>
              <w:t>42091</w:t>
            </w:r>
          </w:p>
          <w:p w:rsidR="008C403B" w:rsidRPr="00FF17EC" w:rsidRDefault="008C403B" w:rsidP="008C403B">
            <w:pPr>
              <w:pStyle w:val="BodyText"/>
              <w:keepNext/>
              <w:keepLines/>
              <w:spacing w:after="0" w:line="240" w:lineRule="auto"/>
              <w:jc w:val="left"/>
              <w:rPr>
                <w:b w:val="0"/>
              </w:rPr>
            </w:pPr>
          </w:p>
          <w:p w:rsidR="008C403B" w:rsidRPr="00FF17EC" w:rsidRDefault="008C403B" w:rsidP="008C403B">
            <w:pPr>
              <w:pStyle w:val="BodyText"/>
              <w:keepNext/>
              <w:keepLines/>
              <w:spacing w:after="0" w:line="240" w:lineRule="auto"/>
              <w:jc w:val="left"/>
              <w:rPr>
                <w:b w:val="0"/>
              </w:rPr>
            </w:pPr>
          </w:p>
        </w:tc>
        <w:tc>
          <w:tcPr>
            <w:tcW w:w="4004" w:type="dxa"/>
            <w:vAlign w:val="center"/>
          </w:tcPr>
          <w:p w:rsidR="008C403B" w:rsidRPr="00FF17EC" w:rsidRDefault="008C403B" w:rsidP="008C403B">
            <w:pPr>
              <w:pStyle w:val="TableParagraph"/>
              <w:keepLines/>
              <w:spacing w:before="58" w:line="240" w:lineRule="auto"/>
              <w:ind w:right="31"/>
              <w:rPr>
                <w:rFonts w:ascii="Trebuchet MS" w:eastAsia="Times New Roman" w:hAnsi="Trebuchet MS" w:cs="Trebuchet MS"/>
              </w:rPr>
            </w:pPr>
            <w:r w:rsidRPr="00FF17EC">
              <w:rPr>
                <w:rFonts w:ascii="Trebuchet MS" w:eastAsia="Times New Roman" w:hAnsi="Trebuchet MS" w:cs="Trebuchet MS"/>
              </w:rPr>
              <w:t xml:space="preserve">The total discharged waste water - </w:t>
            </w:r>
            <w:r w:rsidRPr="00FF17EC">
              <w:rPr>
                <w:rFonts w:ascii="Trebuchet MS" w:eastAsia="Times New Roman" w:hAnsi="Trebuchet MS" w:cs="Trebuchet MS"/>
                <w:b/>
              </w:rPr>
              <w:t>6118000</w:t>
            </w:r>
            <w:r w:rsidRPr="00FF17EC">
              <w:rPr>
                <w:rFonts w:ascii="Trebuchet MS" w:eastAsia="Times New Roman" w:hAnsi="Trebuchet MS" w:cs="Trebuchet MS"/>
              </w:rPr>
              <w:t xml:space="preserve"> m3 </w:t>
            </w:r>
          </w:p>
          <w:p w:rsidR="008C403B" w:rsidRPr="00FF17EC" w:rsidRDefault="008C403B" w:rsidP="008C403B">
            <w:pPr>
              <w:pStyle w:val="BodyText"/>
              <w:keepNext/>
              <w:keepLines/>
              <w:spacing w:after="0" w:line="240" w:lineRule="auto"/>
              <w:jc w:val="left"/>
              <w:rPr>
                <w:b w:val="0"/>
              </w:rPr>
            </w:pPr>
            <w:r w:rsidRPr="00FF17EC">
              <w:rPr>
                <w:b w:val="0"/>
              </w:rPr>
              <w:t xml:space="preserve">Wastewater discharged from municipalities with a system for waste water – </w:t>
            </w:r>
            <w:r w:rsidRPr="00FF17EC">
              <w:t xml:space="preserve">6064000 </w:t>
            </w:r>
            <w:r w:rsidRPr="00FF17EC">
              <w:rPr>
                <w:b w:val="0"/>
              </w:rPr>
              <w:t xml:space="preserve">m3 </w:t>
            </w:r>
          </w:p>
          <w:p w:rsidR="008C403B" w:rsidRPr="00FF17EC" w:rsidRDefault="008C403B" w:rsidP="008C403B">
            <w:pPr>
              <w:pStyle w:val="BodyText"/>
              <w:keepNext/>
              <w:keepLines/>
              <w:spacing w:after="0" w:line="240" w:lineRule="auto"/>
              <w:jc w:val="left"/>
              <w:rPr>
                <w:b w:val="0"/>
              </w:rPr>
            </w:pPr>
            <w:r w:rsidRPr="00FF17EC">
              <w:rPr>
                <w:b w:val="0"/>
              </w:rPr>
              <w:t xml:space="preserve">Treated wastewater - </w:t>
            </w:r>
            <w:r w:rsidRPr="00FF17EC">
              <w:t>950000</w:t>
            </w:r>
            <w:r w:rsidRPr="00FF17EC">
              <w:rPr>
                <w:b w:val="0"/>
              </w:rPr>
              <w:t xml:space="preserve"> m3 </w:t>
            </w:r>
          </w:p>
          <w:p w:rsidR="008C403B" w:rsidRPr="00FF17EC" w:rsidRDefault="008C403B" w:rsidP="008C403B">
            <w:pPr>
              <w:pStyle w:val="TableParagraph"/>
              <w:keepLines/>
              <w:spacing w:before="58" w:line="240" w:lineRule="auto"/>
              <w:rPr>
                <w:rFonts w:ascii="Trebuchet MS" w:eastAsia="Times New Roman" w:hAnsi="Trebuchet MS" w:cs="Trebuchet MS"/>
              </w:rPr>
            </w:pPr>
            <w:r w:rsidRPr="00FF17EC">
              <w:rPr>
                <w:rFonts w:ascii="Trebuchet MS" w:eastAsia="Times New Roman" w:hAnsi="Trebuchet MS" w:cs="Trebuchet MS"/>
              </w:rPr>
              <w:t xml:space="preserve">Number of households connected to the sewage network - </w:t>
            </w:r>
            <w:r w:rsidRPr="00FF17EC">
              <w:rPr>
                <w:rFonts w:ascii="Trebuchet MS" w:eastAsia="Times New Roman" w:hAnsi="Trebuchet MS" w:cs="Trebuchet MS"/>
                <w:b/>
              </w:rPr>
              <w:t>30208</w:t>
            </w:r>
          </w:p>
          <w:p w:rsidR="008C403B" w:rsidRPr="00FF17EC" w:rsidRDefault="008C403B" w:rsidP="008C403B">
            <w:pPr>
              <w:pStyle w:val="BodyText"/>
              <w:keepNext/>
              <w:keepLines/>
              <w:spacing w:after="0" w:line="240" w:lineRule="auto"/>
              <w:jc w:val="left"/>
              <w:rPr>
                <w:b w:val="0"/>
              </w:rPr>
            </w:pPr>
          </w:p>
        </w:tc>
      </w:tr>
    </w:tbl>
    <w:p w:rsidR="00E53F57" w:rsidRPr="00FF17EC" w:rsidRDefault="00393059" w:rsidP="00393059">
      <w:pPr>
        <w:pStyle w:val="Caption"/>
        <w:keepLines/>
        <w:rPr>
          <w:lang w:eastAsia="it-IT"/>
        </w:rPr>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8</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4</w:t>
      </w:r>
      <w:r w:rsidR="00085686" w:rsidRPr="00FF17EC">
        <w:rPr>
          <w:noProof/>
        </w:rPr>
        <w:fldChar w:fldCharType="end"/>
      </w:r>
      <w:r w:rsidRPr="00FF17EC">
        <w:t xml:space="preserve"> </w:t>
      </w:r>
      <w:r w:rsidRPr="00FF17EC">
        <w:rPr>
          <w:lang w:eastAsia="it-IT"/>
        </w:rPr>
        <w:t>Overview over the access to water and sewage in the area</w:t>
      </w:r>
    </w:p>
    <w:p w:rsidR="00E53F57" w:rsidRPr="00FF17EC" w:rsidRDefault="00E53F57" w:rsidP="00393059">
      <w:pPr>
        <w:keepNext/>
        <w:keepLines/>
        <w:rPr>
          <w:sz w:val="20"/>
          <w:lang w:eastAsia="it-IT"/>
        </w:rPr>
      </w:pPr>
      <w:r w:rsidRPr="00FF17EC">
        <w:rPr>
          <w:lang w:eastAsia="it-IT"/>
        </w:rPr>
        <w:t>Source</w:t>
      </w:r>
      <w:r w:rsidRPr="00FF17EC">
        <w:rPr>
          <w:sz w:val="20"/>
          <w:lang w:eastAsia="it-IT"/>
        </w:rPr>
        <w:t>: West Region RDA, 2014, Институт за јавно здравље Србије „Др Милан Јовановић Батут” (2011)</w:t>
      </w:r>
    </w:p>
    <w:p w:rsidR="00E53F57" w:rsidRPr="00FF17EC" w:rsidRDefault="00F3152F" w:rsidP="00E53F57">
      <w:pPr>
        <w:keepNext/>
      </w:pPr>
      <w:r w:rsidRPr="00FF17EC">
        <w:rPr>
          <w:noProof/>
          <w:lang w:eastAsia="en-GB"/>
        </w:rPr>
        <w:drawing>
          <wp:inline distT="0" distB="0" distL="0" distR="0">
            <wp:extent cx="4572000" cy="3238500"/>
            <wp:effectExtent l="0" t="0" r="0" b="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E53F57" w:rsidRPr="00FF17EC" w:rsidRDefault="00E53F57" w:rsidP="00B949B6">
      <w:pPr>
        <w:pStyle w:val="Caption"/>
        <w:keepNext w:val="0"/>
        <w:jc w:val="left"/>
        <w:rPr>
          <w:sz w:val="22"/>
          <w:szCs w:val="20"/>
          <w:lang w:eastAsia="it-IT"/>
        </w:rPr>
      </w:pPr>
      <w:r w:rsidRPr="00FF17EC">
        <w:rPr>
          <w:sz w:val="22"/>
          <w:szCs w:val="20"/>
        </w:rPr>
        <w:t xml:space="preserve">Graph </w:t>
      </w:r>
      <w:r w:rsidR="00393059" w:rsidRPr="00FF17EC">
        <w:rPr>
          <w:sz w:val="22"/>
          <w:szCs w:val="20"/>
        </w:rPr>
        <w:t>8</w:t>
      </w:r>
      <w:r w:rsidRPr="00FF17EC">
        <w:rPr>
          <w:sz w:val="22"/>
          <w:szCs w:val="20"/>
        </w:rPr>
        <w:noBreakHyphen/>
      </w:r>
      <w:r w:rsidR="00085686" w:rsidRPr="00FF17EC">
        <w:rPr>
          <w:sz w:val="22"/>
          <w:szCs w:val="20"/>
        </w:rPr>
        <w:fldChar w:fldCharType="begin"/>
      </w:r>
      <w:r w:rsidRPr="00FF17EC">
        <w:rPr>
          <w:sz w:val="22"/>
          <w:szCs w:val="20"/>
        </w:rPr>
        <w:instrText xml:space="preserve"> SEQ Graph \* ARABIC \s 1 </w:instrText>
      </w:r>
      <w:r w:rsidR="00085686" w:rsidRPr="00FF17EC">
        <w:rPr>
          <w:sz w:val="22"/>
          <w:szCs w:val="20"/>
        </w:rPr>
        <w:fldChar w:fldCharType="separate"/>
      </w:r>
      <w:r w:rsidR="009737E5">
        <w:rPr>
          <w:noProof/>
          <w:sz w:val="22"/>
          <w:szCs w:val="20"/>
        </w:rPr>
        <w:t>1</w:t>
      </w:r>
      <w:r w:rsidR="00085686" w:rsidRPr="00FF17EC">
        <w:rPr>
          <w:sz w:val="22"/>
          <w:szCs w:val="20"/>
        </w:rPr>
        <w:fldChar w:fldCharType="end"/>
      </w:r>
      <w:r w:rsidR="00A62261" w:rsidRPr="00FF17EC">
        <w:rPr>
          <w:sz w:val="22"/>
          <w:szCs w:val="20"/>
        </w:rPr>
        <w:t xml:space="preserve"> Access to the water network</w:t>
      </w:r>
    </w:p>
    <w:p w:rsidR="00E53F57" w:rsidRPr="00FF17EC" w:rsidRDefault="00F3152F" w:rsidP="00A62261">
      <w:pPr>
        <w:keepNext/>
        <w:widowControl w:val="0"/>
      </w:pPr>
      <w:r w:rsidRPr="00FF17EC">
        <w:rPr>
          <w:noProof/>
          <w:lang w:eastAsia="en-GB"/>
        </w:rPr>
        <w:lastRenderedPageBreak/>
        <w:drawing>
          <wp:inline distT="0" distB="0" distL="0" distR="0">
            <wp:extent cx="4581525" cy="3686175"/>
            <wp:effectExtent l="0" t="0" r="9525" b="9525"/>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A62261" w:rsidRPr="00FF17EC" w:rsidRDefault="00A62261" w:rsidP="00A62261">
      <w:pPr>
        <w:pStyle w:val="Caption"/>
        <w:jc w:val="left"/>
        <w:rPr>
          <w:sz w:val="22"/>
          <w:szCs w:val="20"/>
        </w:rPr>
      </w:pPr>
      <w:r w:rsidRPr="00FF17EC">
        <w:rPr>
          <w:sz w:val="22"/>
          <w:szCs w:val="20"/>
        </w:rPr>
        <w:t xml:space="preserve">Graph </w:t>
      </w:r>
      <w:r w:rsidR="00393059" w:rsidRPr="00FF17EC">
        <w:rPr>
          <w:sz w:val="22"/>
          <w:szCs w:val="20"/>
        </w:rPr>
        <w:t>8</w:t>
      </w:r>
      <w:r w:rsidRPr="00FF17EC">
        <w:rPr>
          <w:sz w:val="22"/>
          <w:szCs w:val="20"/>
        </w:rPr>
        <w:noBreakHyphen/>
      </w:r>
      <w:r w:rsidR="00085686" w:rsidRPr="00FF17EC">
        <w:rPr>
          <w:sz w:val="22"/>
          <w:szCs w:val="20"/>
        </w:rPr>
        <w:fldChar w:fldCharType="begin"/>
      </w:r>
      <w:r w:rsidRPr="00FF17EC">
        <w:rPr>
          <w:sz w:val="22"/>
          <w:szCs w:val="20"/>
        </w:rPr>
        <w:instrText xml:space="preserve"> SEQ Graph \* ARABIC \s 1 </w:instrText>
      </w:r>
      <w:r w:rsidR="00085686" w:rsidRPr="00FF17EC">
        <w:rPr>
          <w:sz w:val="22"/>
          <w:szCs w:val="20"/>
        </w:rPr>
        <w:fldChar w:fldCharType="separate"/>
      </w:r>
      <w:r w:rsidR="009737E5">
        <w:rPr>
          <w:noProof/>
          <w:sz w:val="22"/>
          <w:szCs w:val="20"/>
        </w:rPr>
        <w:t>2</w:t>
      </w:r>
      <w:r w:rsidR="00085686" w:rsidRPr="00FF17EC">
        <w:rPr>
          <w:sz w:val="22"/>
          <w:szCs w:val="20"/>
        </w:rPr>
        <w:fldChar w:fldCharType="end"/>
      </w:r>
      <w:r w:rsidRPr="00FF17EC">
        <w:rPr>
          <w:sz w:val="22"/>
          <w:szCs w:val="20"/>
        </w:rPr>
        <w:t xml:space="preserve"> Access to the sewage network</w:t>
      </w:r>
    </w:p>
    <w:p w:rsidR="00393059" w:rsidRPr="00FF17EC" w:rsidRDefault="00393059" w:rsidP="00E53F57">
      <w:pPr>
        <w:rPr>
          <w:lang w:eastAsia="it-IT"/>
        </w:rPr>
      </w:pPr>
    </w:p>
    <w:p w:rsidR="00E53F57" w:rsidRPr="00FF17EC" w:rsidRDefault="00E53F57" w:rsidP="00E53F57">
      <w:pPr>
        <w:rPr>
          <w:lang w:eastAsia="it-IT"/>
        </w:rPr>
      </w:pPr>
      <w:r w:rsidRPr="00FF17EC">
        <w:rPr>
          <w:lang w:eastAsia="it-IT"/>
        </w:rPr>
        <w:t xml:space="preserve">Disparities exist across the border and intra-regionally mainly between urban areas with higher connectivity and rural areas not served by the networks and relying on makeshift infrastructure. </w:t>
      </w:r>
    </w:p>
    <w:p w:rsidR="00E53F57" w:rsidRPr="00FF17EC" w:rsidRDefault="00E53F57" w:rsidP="00E53F57">
      <w:pPr>
        <w:rPr>
          <w:lang w:eastAsia="it-IT"/>
        </w:rPr>
      </w:pPr>
      <w:r w:rsidRPr="00FF17EC">
        <w:rPr>
          <w:lang w:eastAsia="it-IT"/>
        </w:rPr>
        <w:t xml:space="preserve">In those areas connected to the networks, the infrastructure is obsolete and in need of overall overhaul. Water treatment plants in the best cases only provide primary (mechanical) treatment and many are not continually operated, due to poor maintenance and lack of financial resources hence releasing wastewater untreated into the adjacent water bodies, among them to the Danube. In the ICPDR scenarios on the development of the Urban Wastewater and Water Treatment after 2015, all scenarios presume an upgrade for the urban centres (3-grade treatment with removal of Nitrogen and Phosphorus in Romania and Phosphorus removal in Serbia) but also forecast only a slight improvement for the smaller settlements, where non-treatment will remain prevalent. </w:t>
      </w:r>
    </w:p>
    <w:p w:rsidR="00A62261" w:rsidRPr="00FF17EC" w:rsidRDefault="00E53F57" w:rsidP="00E53F57">
      <w:pPr>
        <w:rPr>
          <w:lang w:eastAsia="it-IT"/>
        </w:rPr>
      </w:pPr>
      <w:r w:rsidRPr="00FF17EC">
        <w:rPr>
          <w:lang w:eastAsia="it-IT"/>
        </w:rPr>
        <w:lastRenderedPageBreak/>
        <w:t xml:space="preserve">Waste management is based on collection and waste disposal in landfills; in some cases these landfills are regional sanitary landfills with basic infrastructure, but in many cases they are small open dumps especially in rural areas and near or within vulnerable areas. </w:t>
      </w:r>
    </w:p>
    <w:p w:rsidR="00E53F57" w:rsidRPr="00FF17EC" w:rsidRDefault="00E53F57" w:rsidP="00E53F57">
      <w:pPr>
        <w:rPr>
          <w:lang w:eastAsia="it-IT"/>
        </w:rPr>
      </w:pPr>
      <w:r w:rsidRPr="00FF17EC">
        <w:rPr>
          <w:lang w:eastAsia="it-IT"/>
        </w:rPr>
        <w:t>Waste separation and recycling, especially packing materials, has been promoted and is at nascent stadium. Separation of biodegradable waste is also very low, although it traditionally occurs at household level in the rural areas. No other advanced infrastructure (e.g. biogas capture, incarceration e</w:t>
      </w:r>
      <w:r w:rsidR="00393059" w:rsidRPr="00FF17EC">
        <w:rPr>
          <w:lang w:eastAsia="it-IT"/>
        </w:rPr>
        <w:t>tc.) exists.</w:t>
      </w:r>
    </w:p>
    <w:p w:rsidR="00393059" w:rsidRPr="00FF17EC" w:rsidRDefault="00393059" w:rsidP="00E53F57">
      <w:pPr>
        <w:rPr>
          <w:lang w:eastAsia="it-IT"/>
        </w:rPr>
      </w:pPr>
    </w:p>
    <w:tbl>
      <w:tblPr>
        <w:tblStyle w:val="TableGrid"/>
        <w:tblW w:w="9889" w:type="dxa"/>
        <w:tblLook w:val="04A0" w:firstRow="1" w:lastRow="0" w:firstColumn="1" w:lastColumn="0" w:noHBand="0" w:noVBand="1"/>
      </w:tblPr>
      <w:tblGrid>
        <w:gridCol w:w="1235"/>
        <w:gridCol w:w="1324"/>
        <w:gridCol w:w="4920"/>
        <w:gridCol w:w="2410"/>
      </w:tblGrid>
      <w:tr w:rsidR="00E53F57" w:rsidRPr="00FF17EC" w:rsidTr="00EF40E0">
        <w:trPr>
          <w:tblHeader/>
        </w:trPr>
        <w:tc>
          <w:tcPr>
            <w:tcW w:w="1235" w:type="dxa"/>
            <w:vAlign w:val="center"/>
          </w:tcPr>
          <w:p w:rsidR="00E53F57" w:rsidRPr="00FF17EC" w:rsidRDefault="00E53F57" w:rsidP="00EF40E0">
            <w:pPr>
              <w:spacing w:after="0" w:line="240" w:lineRule="auto"/>
              <w:jc w:val="left"/>
              <w:rPr>
                <w:b/>
              </w:rPr>
            </w:pPr>
            <w:r w:rsidRPr="00FF17EC">
              <w:rPr>
                <w:b/>
              </w:rPr>
              <w:t>Country</w:t>
            </w:r>
          </w:p>
        </w:tc>
        <w:tc>
          <w:tcPr>
            <w:tcW w:w="1324" w:type="dxa"/>
            <w:vAlign w:val="center"/>
          </w:tcPr>
          <w:p w:rsidR="00E53F57" w:rsidRPr="00FF17EC" w:rsidRDefault="00E53F57" w:rsidP="00EF40E0">
            <w:pPr>
              <w:spacing w:after="0" w:line="240" w:lineRule="auto"/>
              <w:jc w:val="left"/>
              <w:rPr>
                <w:b/>
              </w:rPr>
            </w:pPr>
            <w:r w:rsidRPr="00FF17EC">
              <w:rPr>
                <w:b/>
              </w:rPr>
              <w:t>District</w:t>
            </w:r>
          </w:p>
        </w:tc>
        <w:tc>
          <w:tcPr>
            <w:tcW w:w="4920" w:type="dxa"/>
            <w:vAlign w:val="center"/>
          </w:tcPr>
          <w:p w:rsidR="00E53F57" w:rsidRPr="00FF17EC" w:rsidRDefault="00E53F57" w:rsidP="00EF40E0">
            <w:pPr>
              <w:spacing w:after="0" w:line="240" w:lineRule="auto"/>
              <w:jc w:val="left"/>
              <w:rPr>
                <w:b/>
              </w:rPr>
            </w:pPr>
            <w:r w:rsidRPr="00FF17EC">
              <w:rPr>
                <w:b/>
              </w:rPr>
              <w:t>Waste disposal</w:t>
            </w:r>
          </w:p>
        </w:tc>
        <w:tc>
          <w:tcPr>
            <w:tcW w:w="2410" w:type="dxa"/>
            <w:vAlign w:val="center"/>
          </w:tcPr>
          <w:p w:rsidR="00E53F57" w:rsidRPr="00FF17EC" w:rsidRDefault="00E53F57" w:rsidP="00EF40E0">
            <w:pPr>
              <w:spacing w:after="0" w:line="240" w:lineRule="auto"/>
              <w:jc w:val="left"/>
              <w:rPr>
                <w:b/>
              </w:rPr>
            </w:pPr>
            <w:r w:rsidRPr="00FF17EC">
              <w:rPr>
                <w:b/>
              </w:rPr>
              <w:t>Recycling and waste separation</w:t>
            </w:r>
          </w:p>
        </w:tc>
      </w:tr>
      <w:tr w:rsidR="00E53F57" w:rsidRPr="00FF17EC" w:rsidTr="00EF40E0">
        <w:tc>
          <w:tcPr>
            <w:tcW w:w="1235" w:type="dxa"/>
            <w:vMerge w:val="restart"/>
            <w:vAlign w:val="center"/>
          </w:tcPr>
          <w:p w:rsidR="00E53F57" w:rsidRPr="00FF17EC" w:rsidRDefault="00E53F57" w:rsidP="00EF40E0">
            <w:pPr>
              <w:spacing w:after="0" w:line="240" w:lineRule="auto"/>
              <w:jc w:val="left"/>
              <w:rPr>
                <w:lang w:eastAsia="it-IT"/>
              </w:rPr>
            </w:pPr>
            <w:r w:rsidRPr="00FF17EC">
              <w:rPr>
                <w:lang w:eastAsia="it-IT"/>
              </w:rPr>
              <w:t>Romania</w:t>
            </w:r>
          </w:p>
        </w:tc>
        <w:tc>
          <w:tcPr>
            <w:tcW w:w="1324" w:type="dxa"/>
            <w:vAlign w:val="center"/>
          </w:tcPr>
          <w:p w:rsidR="00E53F57" w:rsidRPr="00FF17EC" w:rsidRDefault="00E53F57" w:rsidP="00EF40E0">
            <w:pPr>
              <w:spacing w:after="0" w:line="240" w:lineRule="auto"/>
              <w:jc w:val="left"/>
            </w:pPr>
            <w:r w:rsidRPr="00FF17EC">
              <w:t>Timiş</w:t>
            </w:r>
          </w:p>
        </w:tc>
        <w:tc>
          <w:tcPr>
            <w:tcW w:w="4920" w:type="dxa"/>
            <w:vAlign w:val="center"/>
          </w:tcPr>
          <w:p w:rsidR="00E53F57" w:rsidRPr="00FF17EC" w:rsidRDefault="00E53F57" w:rsidP="00EF40E0">
            <w:pPr>
              <w:pStyle w:val="BodyText"/>
              <w:keepNext/>
              <w:spacing w:after="0" w:line="240" w:lineRule="auto"/>
              <w:jc w:val="left"/>
              <w:rPr>
                <w:b w:val="0"/>
              </w:rPr>
            </w:pPr>
            <w:r w:rsidRPr="00FF17EC">
              <w:rPr>
                <w:b w:val="0"/>
              </w:rPr>
              <w:t>Waste management raises environment problems as it is done in landfills, located in vulnerable areas, without special protection measures. For year 2010, the quantity that was stored there was of 215 837 tones.</w:t>
            </w:r>
          </w:p>
        </w:tc>
        <w:tc>
          <w:tcPr>
            <w:tcW w:w="2410" w:type="dxa"/>
            <w:vAlign w:val="center"/>
          </w:tcPr>
          <w:p w:rsidR="00E53F57" w:rsidRPr="00FF17EC" w:rsidRDefault="00E53F57" w:rsidP="00EF40E0">
            <w:pPr>
              <w:spacing w:after="0" w:line="240" w:lineRule="auto"/>
              <w:jc w:val="left"/>
            </w:pPr>
            <w:r w:rsidRPr="00FF17EC">
              <w:t>No information available</w:t>
            </w:r>
          </w:p>
        </w:tc>
      </w:tr>
      <w:tr w:rsidR="00E53F57" w:rsidRPr="00FF17EC" w:rsidTr="00EF40E0">
        <w:tc>
          <w:tcPr>
            <w:tcW w:w="1235" w:type="dxa"/>
            <w:vMerge/>
            <w:vAlign w:val="center"/>
          </w:tcPr>
          <w:p w:rsidR="00E53F57" w:rsidRPr="00FF17EC" w:rsidRDefault="00E53F57" w:rsidP="00EF40E0">
            <w:pPr>
              <w:spacing w:after="0" w:line="240" w:lineRule="auto"/>
              <w:jc w:val="left"/>
              <w:rPr>
                <w:lang w:eastAsia="it-IT"/>
              </w:rPr>
            </w:pPr>
          </w:p>
        </w:tc>
        <w:tc>
          <w:tcPr>
            <w:tcW w:w="1324" w:type="dxa"/>
            <w:vAlign w:val="center"/>
          </w:tcPr>
          <w:p w:rsidR="00E53F57" w:rsidRPr="00FF17EC" w:rsidRDefault="00E53F57" w:rsidP="00EF40E0">
            <w:pPr>
              <w:spacing w:after="0" w:line="240" w:lineRule="auto"/>
              <w:jc w:val="left"/>
            </w:pPr>
            <w:r w:rsidRPr="00FF17EC">
              <w:t>Caraş-Severin</w:t>
            </w:r>
          </w:p>
        </w:tc>
        <w:tc>
          <w:tcPr>
            <w:tcW w:w="4920" w:type="dxa"/>
            <w:vAlign w:val="center"/>
          </w:tcPr>
          <w:p w:rsidR="00E53F57" w:rsidRPr="00FF17EC" w:rsidRDefault="00E53F57" w:rsidP="00EF40E0">
            <w:pPr>
              <w:pStyle w:val="BodyText"/>
              <w:keepNext/>
              <w:spacing w:after="0" w:line="240" w:lineRule="auto"/>
              <w:jc w:val="left"/>
              <w:rPr>
                <w:b w:val="0"/>
              </w:rPr>
            </w:pPr>
            <w:r w:rsidRPr="00FF17EC">
              <w:rPr>
                <w:b w:val="0"/>
              </w:rPr>
              <w:t>Waste management raises environment problems as it is done in landfills, located in vulnerable areas, without special protection measures. For year 2011, the quantity that was stored there was of 112 751 tones.</w:t>
            </w:r>
          </w:p>
        </w:tc>
        <w:tc>
          <w:tcPr>
            <w:tcW w:w="2410" w:type="dxa"/>
            <w:vAlign w:val="center"/>
          </w:tcPr>
          <w:p w:rsidR="00E53F57" w:rsidRPr="00FF17EC" w:rsidRDefault="00E53F57" w:rsidP="00EF40E0">
            <w:pPr>
              <w:spacing w:after="0" w:line="240" w:lineRule="auto"/>
              <w:jc w:val="left"/>
            </w:pPr>
            <w:r w:rsidRPr="00FF17EC">
              <w:t>No information available</w:t>
            </w:r>
          </w:p>
        </w:tc>
      </w:tr>
      <w:tr w:rsidR="00E53F57" w:rsidRPr="00FF17EC" w:rsidTr="00EF40E0">
        <w:tc>
          <w:tcPr>
            <w:tcW w:w="1235" w:type="dxa"/>
            <w:vMerge/>
            <w:vAlign w:val="center"/>
          </w:tcPr>
          <w:p w:rsidR="00E53F57" w:rsidRPr="00FF17EC" w:rsidRDefault="00E53F57" w:rsidP="00EF40E0">
            <w:pPr>
              <w:spacing w:after="0" w:line="240" w:lineRule="auto"/>
              <w:jc w:val="left"/>
              <w:rPr>
                <w:lang w:eastAsia="it-IT"/>
              </w:rPr>
            </w:pPr>
          </w:p>
        </w:tc>
        <w:tc>
          <w:tcPr>
            <w:tcW w:w="1324" w:type="dxa"/>
            <w:vAlign w:val="center"/>
          </w:tcPr>
          <w:p w:rsidR="00E53F57" w:rsidRPr="00FF17EC" w:rsidRDefault="00E53F57" w:rsidP="00EF40E0">
            <w:pPr>
              <w:spacing w:after="0" w:line="240" w:lineRule="auto"/>
              <w:jc w:val="left"/>
            </w:pPr>
            <w:r w:rsidRPr="00FF17EC">
              <w:t>Mehedinţi</w:t>
            </w:r>
          </w:p>
        </w:tc>
        <w:tc>
          <w:tcPr>
            <w:tcW w:w="4920" w:type="dxa"/>
            <w:vAlign w:val="center"/>
          </w:tcPr>
          <w:p w:rsidR="00E53F57" w:rsidRPr="00FF17EC" w:rsidRDefault="00E53F57" w:rsidP="00EF40E0">
            <w:pPr>
              <w:pStyle w:val="BodyText"/>
              <w:keepNext/>
              <w:spacing w:after="0" w:line="240" w:lineRule="auto"/>
              <w:jc w:val="left"/>
              <w:rPr>
                <w:b w:val="0"/>
              </w:rPr>
            </w:pPr>
            <w:r w:rsidRPr="00FF17EC">
              <w:rPr>
                <w:b w:val="0"/>
              </w:rPr>
              <w:t>Waste management it is controlled at regional level – with 4 specially designed storage facilities, and Mehedinti county has one in Drobeta Turnu Severin. For year 2011, the quantity that was stored there was of 44 429 tones, which about 18% of the total regional.</w:t>
            </w:r>
          </w:p>
        </w:tc>
        <w:tc>
          <w:tcPr>
            <w:tcW w:w="2410" w:type="dxa"/>
            <w:vAlign w:val="center"/>
          </w:tcPr>
          <w:p w:rsidR="00E53F57" w:rsidRPr="00FF17EC" w:rsidRDefault="00E53F57" w:rsidP="00EF40E0">
            <w:pPr>
              <w:spacing w:after="0" w:line="240" w:lineRule="auto"/>
              <w:jc w:val="left"/>
            </w:pPr>
            <w:r w:rsidRPr="00FF17EC">
              <w:t>No information available</w:t>
            </w:r>
          </w:p>
        </w:tc>
      </w:tr>
      <w:tr w:rsidR="008C403B" w:rsidRPr="00FF17EC" w:rsidTr="00EF40E0">
        <w:tc>
          <w:tcPr>
            <w:tcW w:w="1235" w:type="dxa"/>
            <w:vMerge w:val="restart"/>
            <w:vAlign w:val="center"/>
          </w:tcPr>
          <w:p w:rsidR="008C403B" w:rsidRPr="00FF17EC" w:rsidRDefault="008C403B" w:rsidP="00EF40E0">
            <w:pPr>
              <w:spacing w:after="0" w:line="240" w:lineRule="auto"/>
              <w:jc w:val="left"/>
              <w:rPr>
                <w:lang w:eastAsia="it-IT"/>
              </w:rPr>
            </w:pPr>
            <w:r w:rsidRPr="00FF17EC">
              <w:rPr>
                <w:lang w:eastAsia="it-IT"/>
              </w:rPr>
              <w:t>Serbia</w:t>
            </w: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Severno-Banatski</w:t>
            </w:r>
          </w:p>
        </w:tc>
        <w:tc>
          <w:tcPr>
            <w:tcW w:w="4920" w:type="dxa"/>
            <w:vAlign w:val="center"/>
          </w:tcPr>
          <w:p w:rsidR="008C403B" w:rsidRPr="00FF17EC" w:rsidRDefault="008C403B" w:rsidP="00EF40E0">
            <w:pPr>
              <w:spacing w:after="0" w:line="240" w:lineRule="auto"/>
              <w:jc w:val="left"/>
            </w:pPr>
            <w:r w:rsidRPr="00FF17EC">
              <w:t>Area near Kikinda:</w:t>
            </w:r>
            <w:r w:rsidRPr="00FF17EC">
              <w:br/>
              <w:t xml:space="preserve">Have been identified: one sanitary landfill, two rehabilitated and reclaimed landfill and 16 which do not fulfil the sanitary conditions (wild and official) </w:t>
            </w:r>
          </w:p>
          <w:p w:rsidR="008C403B" w:rsidRPr="00B466A7" w:rsidRDefault="008C403B" w:rsidP="00EF40E0">
            <w:pPr>
              <w:spacing w:after="0" w:line="240" w:lineRule="auto"/>
              <w:jc w:val="left"/>
              <w:rPr>
                <w:lang w:val="it-IT"/>
              </w:rPr>
            </w:pPr>
            <w:r w:rsidRPr="00FF17EC">
              <w:t>Σ</w:t>
            </w:r>
            <w:r w:rsidRPr="00B466A7">
              <w:rPr>
                <w:lang w:val="it-IT"/>
              </w:rPr>
              <w:t xml:space="preserve"> = 18 landfills</w:t>
            </w:r>
          </w:p>
          <w:p w:rsidR="008C403B" w:rsidRPr="00B466A7" w:rsidRDefault="008C403B" w:rsidP="00EF40E0">
            <w:pPr>
              <w:spacing w:after="0" w:line="240" w:lineRule="auto"/>
              <w:jc w:val="left"/>
              <w:rPr>
                <w:lang w:val="it-IT"/>
              </w:rPr>
            </w:pPr>
            <w:r w:rsidRPr="00B466A7">
              <w:rPr>
                <w:lang w:val="it-IT"/>
              </w:rPr>
              <w:t xml:space="preserve">∑ = 32,06 ha + 8,2 ha (rekultivated) = 40,26 ha </w:t>
            </w:r>
          </w:p>
          <w:p w:rsidR="008C403B" w:rsidRPr="00FF17EC" w:rsidRDefault="008C403B" w:rsidP="00EF40E0">
            <w:pPr>
              <w:spacing w:after="0" w:line="240" w:lineRule="auto"/>
              <w:jc w:val="left"/>
            </w:pPr>
            <w:r w:rsidRPr="00FF17EC">
              <w:t>1,490 t of waste per month (packaging waste,</w:t>
            </w:r>
          </w:p>
          <w:p w:rsidR="008C403B" w:rsidRPr="00FF17EC" w:rsidRDefault="008C403B" w:rsidP="00EF40E0">
            <w:pPr>
              <w:spacing w:after="0" w:line="240" w:lineRule="auto"/>
              <w:jc w:val="left"/>
            </w:pPr>
            <w:r w:rsidRPr="00FF17EC">
              <w:t xml:space="preserve">Construction Waste, </w:t>
            </w:r>
          </w:p>
          <w:p w:rsidR="008C403B" w:rsidRPr="00FF17EC" w:rsidRDefault="008C403B" w:rsidP="00EF40E0">
            <w:pPr>
              <w:spacing w:after="0" w:line="240" w:lineRule="auto"/>
              <w:jc w:val="left"/>
            </w:pPr>
            <w:r w:rsidRPr="00FF17EC">
              <w:t xml:space="preserve">Hazardous household waste, </w:t>
            </w:r>
          </w:p>
          <w:p w:rsidR="008C403B" w:rsidRPr="00FF17EC" w:rsidRDefault="008C403B" w:rsidP="00EF40E0">
            <w:pPr>
              <w:spacing w:after="0" w:line="240" w:lineRule="auto"/>
              <w:jc w:val="left"/>
            </w:pPr>
            <w:r w:rsidRPr="00FF17EC">
              <w:t xml:space="preserve">Agricultural waste, </w:t>
            </w:r>
          </w:p>
          <w:p w:rsidR="008C403B" w:rsidRPr="00FF17EC" w:rsidRDefault="008C403B" w:rsidP="00EF40E0">
            <w:pPr>
              <w:spacing w:after="0" w:line="240" w:lineRule="auto"/>
              <w:jc w:val="left"/>
            </w:pPr>
            <w:r w:rsidRPr="00FF17EC">
              <w:t xml:space="preserve">garden waste, </w:t>
            </w:r>
          </w:p>
          <w:p w:rsidR="008C403B" w:rsidRPr="00FF17EC" w:rsidRDefault="008C403B" w:rsidP="00EF40E0">
            <w:pPr>
              <w:spacing w:after="0" w:line="240" w:lineRule="auto"/>
              <w:jc w:val="left"/>
            </w:pPr>
            <w:r w:rsidRPr="00FF17EC">
              <w:lastRenderedPageBreak/>
              <w:t>Electrical and electronic waste, etc..)</w:t>
            </w:r>
            <w:r w:rsidRPr="00FF17EC">
              <w:footnoteReference w:id="46"/>
            </w:r>
          </w:p>
        </w:tc>
        <w:tc>
          <w:tcPr>
            <w:tcW w:w="2410" w:type="dxa"/>
            <w:vAlign w:val="center"/>
          </w:tcPr>
          <w:p w:rsidR="008C403B" w:rsidRPr="00FF17EC" w:rsidRDefault="008C403B" w:rsidP="00EF40E0">
            <w:pPr>
              <w:pStyle w:val="BodyText"/>
              <w:keepNext/>
              <w:spacing w:after="0" w:line="240" w:lineRule="auto"/>
              <w:jc w:val="left"/>
              <w:rPr>
                <w:b w:val="0"/>
              </w:rPr>
            </w:pPr>
            <w:r w:rsidRPr="00FF17EC">
              <w:rPr>
                <w:b w:val="0"/>
              </w:rPr>
              <w:lastRenderedPageBreak/>
              <w:t>Kikinda: Collection of plastic and paper</w:t>
            </w:r>
          </w:p>
        </w:tc>
      </w:tr>
      <w:tr w:rsidR="008C403B" w:rsidRPr="00FF17EC" w:rsidTr="00EF40E0">
        <w:tc>
          <w:tcPr>
            <w:tcW w:w="1235" w:type="dxa"/>
            <w:vMerge/>
            <w:vAlign w:val="center"/>
          </w:tcPr>
          <w:p w:rsidR="008C403B" w:rsidRPr="00FF17EC" w:rsidRDefault="008C403B" w:rsidP="00EF40E0">
            <w:pPr>
              <w:spacing w:after="0" w:line="240" w:lineRule="auto"/>
              <w:jc w:val="left"/>
              <w:rPr>
                <w:lang w:eastAsia="it-IT"/>
              </w:rPr>
            </w:pP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Srednje-Banatski</w:t>
            </w:r>
          </w:p>
        </w:tc>
        <w:tc>
          <w:tcPr>
            <w:tcW w:w="4920" w:type="dxa"/>
            <w:vAlign w:val="center"/>
          </w:tcPr>
          <w:p w:rsidR="008C403B" w:rsidRPr="00FF17EC" w:rsidRDefault="008C403B" w:rsidP="00EF40E0">
            <w:pPr>
              <w:spacing w:after="0" w:line="240" w:lineRule="auto"/>
              <w:jc w:val="left"/>
            </w:pPr>
            <w:r w:rsidRPr="00FF17EC">
              <w:t>Numerous smaller landfields</w:t>
            </w:r>
          </w:p>
        </w:tc>
        <w:tc>
          <w:tcPr>
            <w:tcW w:w="2410" w:type="dxa"/>
            <w:vAlign w:val="center"/>
          </w:tcPr>
          <w:p w:rsidR="008C403B" w:rsidRPr="00FF17EC" w:rsidRDefault="008C403B" w:rsidP="00EF40E0">
            <w:pPr>
              <w:spacing w:after="0" w:line="240" w:lineRule="auto"/>
              <w:jc w:val="left"/>
            </w:pPr>
            <w:r w:rsidRPr="00FF17EC">
              <w:t>-</w:t>
            </w:r>
          </w:p>
        </w:tc>
      </w:tr>
      <w:tr w:rsidR="008C403B" w:rsidRPr="00FF17EC" w:rsidTr="00EF40E0">
        <w:tc>
          <w:tcPr>
            <w:tcW w:w="1235" w:type="dxa"/>
            <w:vMerge/>
            <w:vAlign w:val="center"/>
          </w:tcPr>
          <w:p w:rsidR="008C403B" w:rsidRPr="00FF17EC" w:rsidRDefault="008C403B" w:rsidP="00EF40E0">
            <w:pPr>
              <w:spacing w:after="0" w:line="240" w:lineRule="auto"/>
              <w:jc w:val="left"/>
              <w:rPr>
                <w:lang w:eastAsia="it-IT"/>
              </w:rPr>
            </w:pP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Južno-Banatski</w:t>
            </w:r>
          </w:p>
        </w:tc>
        <w:tc>
          <w:tcPr>
            <w:tcW w:w="4920" w:type="dxa"/>
            <w:vAlign w:val="center"/>
          </w:tcPr>
          <w:p w:rsidR="008C403B" w:rsidRPr="00FF17EC" w:rsidRDefault="008C403B" w:rsidP="00EF40E0">
            <w:pPr>
              <w:spacing w:after="0" w:line="240" w:lineRule="auto"/>
              <w:jc w:val="left"/>
            </w:pPr>
            <w:r w:rsidRPr="00FF17EC">
              <w:t>Numerous smaller landfields</w:t>
            </w:r>
          </w:p>
        </w:tc>
        <w:tc>
          <w:tcPr>
            <w:tcW w:w="2410" w:type="dxa"/>
            <w:vAlign w:val="center"/>
          </w:tcPr>
          <w:p w:rsidR="008C403B" w:rsidRPr="00FF17EC" w:rsidRDefault="008C403B" w:rsidP="00EF40E0">
            <w:pPr>
              <w:spacing w:after="0" w:line="240" w:lineRule="auto"/>
              <w:jc w:val="left"/>
            </w:pPr>
            <w:r w:rsidRPr="00FF17EC">
              <w:t>Vrsac: connection of plastic</w:t>
            </w:r>
          </w:p>
        </w:tc>
      </w:tr>
      <w:tr w:rsidR="008C403B" w:rsidRPr="00FF17EC" w:rsidTr="00EF40E0">
        <w:tc>
          <w:tcPr>
            <w:tcW w:w="1235" w:type="dxa"/>
            <w:vMerge/>
            <w:vAlign w:val="center"/>
          </w:tcPr>
          <w:p w:rsidR="008C403B" w:rsidRPr="00FF17EC" w:rsidRDefault="008C403B" w:rsidP="00EF40E0">
            <w:pPr>
              <w:spacing w:after="0" w:line="240" w:lineRule="auto"/>
              <w:jc w:val="left"/>
              <w:rPr>
                <w:lang w:eastAsia="it-IT"/>
              </w:rPr>
            </w:pP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Braničevski</w:t>
            </w:r>
          </w:p>
        </w:tc>
        <w:tc>
          <w:tcPr>
            <w:tcW w:w="4920" w:type="dxa"/>
            <w:vAlign w:val="center"/>
          </w:tcPr>
          <w:p w:rsidR="008C403B" w:rsidRPr="00FF17EC" w:rsidRDefault="008C403B" w:rsidP="00EF40E0">
            <w:pPr>
              <w:spacing w:after="0" w:line="240" w:lineRule="auto"/>
              <w:jc w:val="left"/>
            </w:pPr>
            <w:r w:rsidRPr="00FF17EC">
              <w:t>Numerous smaller landfields</w:t>
            </w:r>
          </w:p>
        </w:tc>
        <w:tc>
          <w:tcPr>
            <w:tcW w:w="2410" w:type="dxa"/>
            <w:vAlign w:val="center"/>
          </w:tcPr>
          <w:p w:rsidR="008C403B" w:rsidRPr="00FF17EC" w:rsidRDefault="008C403B" w:rsidP="00EF40E0">
            <w:pPr>
              <w:spacing w:after="0" w:line="240" w:lineRule="auto"/>
              <w:jc w:val="left"/>
            </w:pPr>
            <w:r w:rsidRPr="00FF17EC">
              <w:t>-</w:t>
            </w:r>
          </w:p>
        </w:tc>
      </w:tr>
      <w:tr w:rsidR="008C403B" w:rsidRPr="00FF17EC" w:rsidTr="00EF40E0">
        <w:tc>
          <w:tcPr>
            <w:tcW w:w="1235" w:type="dxa"/>
            <w:vMerge/>
            <w:vAlign w:val="center"/>
          </w:tcPr>
          <w:p w:rsidR="008C403B" w:rsidRPr="00FF17EC" w:rsidRDefault="008C403B" w:rsidP="00EF40E0">
            <w:pPr>
              <w:spacing w:after="0" w:line="240" w:lineRule="auto"/>
              <w:jc w:val="left"/>
              <w:rPr>
                <w:lang w:eastAsia="it-IT"/>
              </w:rPr>
            </w:pP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Borski</w:t>
            </w:r>
          </w:p>
        </w:tc>
        <w:tc>
          <w:tcPr>
            <w:tcW w:w="4920" w:type="dxa"/>
            <w:vAlign w:val="center"/>
          </w:tcPr>
          <w:p w:rsidR="008C403B" w:rsidRPr="00FF17EC" w:rsidRDefault="008C403B" w:rsidP="00EF40E0">
            <w:pPr>
              <w:spacing w:after="0" w:line="240" w:lineRule="auto"/>
              <w:jc w:val="left"/>
            </w:pPr>
            <w:r w:rsidRPr="00FF17EC">
              <w:t>Numerous smaller landfields</w:t>
            </w:r>
          </w:p>
        </w:tc>
        <w:tc>
          <w:tcPr>
            <w:tcW w:w="2410" w:type="dxa"/>
            <w:vAlign w:val="center"/>
          </w:tcPr>
          <w:p w:rsidR="008C403B" w:rsidRPr="00FF17EC" w:rsidRDefault="008C403B" w:rsidP="00EF40E0">
            <w:pPr>
              <w:spacing w:after="0" w:line="240" w:lineRule="auto"/>
              <w:jc w:val="left"/>
            </w:pPr>
            <w:r w:rsidRPr="00FF17EC">
              <w:t>-</w:t>
            </w:r>
          </w:p>
        </w:tc>
      </w:tr>
      <w:tr w:rsidR="008C403B" w:rsidRPr="00FF17EC" w:rsidTr="00EF40E0">
        <w:tc>
          <w:tcPr>
            <w:tcW w:w="1235" w:type="dxa"/>
            <w:vMerge/>
            <w:vAlign w:val="center"/>
          </w:tcPr>
          <w:p w:rsidR="008C403B" w:rsidRPr="00FF17EC" w:rsidRDefault="008C403B" w:rsidP="00EF40E0">
            <w:pPr>
              <w:spacing w:after="0" w:line="240" w:lineRule="auto"/>
              <w:jc w:val="left"/>
              <w:rPr>
                <w:lang w:eastAsia="it-IT"/>
              </w:rPr>
            </w:pPr>
          </w:p>
        </w:tc>
        <w:tc>
          <w:tcPr>
            <w:tcW w:w="1324" w:type="dxa"/>
            <w:vAlign w:val="center"/>
          </w:tcPr>
          <w:p w:rsidR="008C403B" w:rsidRPr="00FF17EC" w:rsidRDefault="008C403B" w:rsidP="00EF40E0">
            <w:pPr>
              <w:pStyle w:val="BodyText"/>
              <w:keepNext/>
              <w:spacing w:after="0" w:line="240" w:lineRule="auto"/>
              <w:jc w:val="left"/>
              <w:rPr>
                <w:b w:val="0"/>
              </w:rPr>
            </w:pPr>
            <w:r w:rsidRPr="00FF17EC">
              <w:rPr>
                <w:b w:val="0"/>
              </w:rPr>
              <w:t>Podunavski</w:t>
            </w:r>
          </w:p>
        </w:tc>
        <w:tc>
          <w:tcPr>
            <w:tcW w:w="4920" w:type="dxa"/>
            <w:vAlign w:val="center"/>
          </w:tcPr>
          <w:p w:rsidR="008C403B" w:rsidRPr="00FF17EC" w:rsidRDefault="008C403B" w:rsidP="00B645B3">
            <w:pPr>
              <w:spacing w:after="0" w:line="240" w:lineRule="auto"/>
              <w:jc w:val="left"/>
            </w:pPr>
            <w:r w:rsidRPr="00FF17EC">
              <w:t>Numerous smaller landfields</w:t>
            </w:r>
          </w:p>
        </w:tc>
        <w:tc>
          <w:tcPr>
            <w:tcW w:w="2410" w:type="dxa"/>
            <w:vAlign w:val="center"/>
          </w:tcPr>
          <w:p w:rsidR="008C403B" w:rsidRPr="00FF17EC" w:rsidRDefault="008C403B" w:rsidP="00B645B3">
            <w:pPr>
              <w:spacing w:after="0" w:line="240" w:lineRule="auto"/>
              <w:jc w:val="left"/>
            </w:pPr>
            <w:r w:rsidRPr="00FF17EC">
              <w:t>-</w:t>
            </w:r>
          </w:p>
        </w:tc>
      </w:tr>
    </w:tbl>
    <w:p w:rsidR="005C4AE7" w:rsidRPr="00FF17EC" w:rsidRDefault="005C4AE7" w:rsidP="005C4AE7">
      <w:pPr>
        <w:pStyle w:val="Caption"/>
        <w:rPr>
          <w:sz w:val="20"/>
          <w:lang w:eastAsia="it-IT"/>
        </w:rPr>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8</w:t>
      </w:r>
      <w:r w:rsidR="00085686" w:rsidRPr="00FF17EC">
        <w:rPr>
          <w:noProof/>
        </w:rPr>
        <w:fldChar w:fldCharType="end"/>
      </w:r>
      <w:r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5</w:t>
      </w:r>
      <w:r w:rsidR="00085686" w:rsidRPr="00FF17EC">
        <w:rPr>
          <w:noProof/>
        </w:rPr>
        <w:fldChar w:fldCharType="end"/>
      </w:r>
      <w:r w:rsidRPr="00FF17EC">
        <w:t xml:space="preserve"> Waste disposal</w:t>
      </w:r>
    </w:p>
    <w:p w:rsidR="00E53F57" w:rsidRPr="00FF17EC" w:rsidRDefault="00E53F57" w:rsidP="00E53F57">
      <w:pPr>
        <w:spacing w:after="0"/>
        <w:jc w:val="left"/>
        <w:rPr>
          <w:sz w:val="20"/>
          <w:lang w:eastAsia="it-IT"/>
        </w:rPr>
      </w:pPr>
      <w:r w:rsidRPr="00FF17EC">
        <w:rPr>
          <w:sz w:val="20"/>
          <w:lang w:eastAsia="it-IT"/>
        </w:rPr>
        <w:t>Source: Source: Environment Protection Agency for each Romanian county (2014) anecdotal information via RDA West, ISC (2014) Serbian Green List-Recycling Islands, EEA (2013) Municipal waste management in Romania, ISWA (2012) State of the Nation Report: Serbia</w:t>
      </w:r>
    </w:p>
    <w:p w:rsidR="00E53F57" w:rsidRPr="00FF17EC" w:rsidRDefault="00E53F57" w:rsidP="00E53F57">
      <w:pPr>
        <w:spacing w:after="0"/>
        <w:jc w:val="left"/>
        <w:rPr>
          <w:lang w:eastAsia="it-IT"/>
        </w:rPr>
      </w:pPr>
    </w:p>
    <w:p w:rsidR="00E53F57" w:rsidRPr="00FF17EC" w:rsidRDefault="00E53F57" w:rsidP="00E53F57">
      <w:pPr>
        <w:rPr>
          <w:lang w:eastAsia="it-IT"/>
        </w:rPr>
      </w:pPr>
      <w:r w:rsidRPr="00FF17EC">
        <w:rPr>
          <w:lang w:eastAsia="it-IT"/>
        </w:rPr>
        <w:t xml:space="preserve">The issues on public utilities infrastructure is similar on both sides of the border and can be summarised as low level of connection and supply, underserved rural areas, obsolete infrastructures and uncontrolled discharges. </w:t>
      </w:r>
    </w:p>
    <w:p w:rsidR="007D1DDB" w:rsidRPr="00FF17EC" w:rsidRDefault="007D1DDB" w:rsidP="00E53F57">
      <w:pPr>
        <w:rPr>
          <w:lang w:eastAsia="it-IT"/>
        </w:rPr>
      </w:pPr>
    </w:p>
    <w:p w:rsidR="00E53F57" w:rsidRPr="00FF17EC" w:rsidRDefault="00E53F57" w:rsidP="00E53F57">
      <w:pPr>
        <w:pStyle w:val="Heading2"/>
      </w:pPr>
      <w:bookmarkStart w:id="94" w:name="_Toc380860769"/>
      <w:r w:rsidRPr="00FF17EC">
        <w:t xml:space="preserve"> </w:t>
      </w:r>
      <w:bookmarkStart w:id="95" w:name="_Toc383162916"/>
      <w:bookmarkStart w:id="96" w:name="_Toc383367986"/>
      <w:bookmarkStart w:id="97" w:name="_Toc383415722"/>
      <w:r w:rsidRPr="00FF17EC">
        <w:t>Environmental hotspots and risks</w:t>
      </w:r>
      <w:bookmarkEnd w:id="94"/>
      <w:bookmarkEnd w:id="95"/>
      <w:bookmarkEnd w:id="96"/>
      <w:bookmarkEnd w:id="97"/>
    </w:p>
    <w:p w:rsidR="00E53F57" w:rsidRPr="00FF17EC" w:rsidRDefault="00E53F57" w:rsidP="00E53F57">
      <w:r w:rsidRPr="00FF17EC">
        <w:t xml:space="preserve">The area is characterised by a very large number of hotspots in relation to agriculture, industrial sites and brown fields, mining activities and municipal waste water. The figure below gives an overview. </w:t>
      </w:r>
    </w:p>
    <w:p w:rsidR="00E53F57" w:rsidRPr="00FF17EC" w:rsidRDefault="00E53F57" w:rsidP="00E53F57">
      <w:pPr>
        <w:spacing w:after="0" w:line="240" w:lineRule="auto"/>
        <w:jc w:val="left"/>
        <w:rPr>
          <w:lang w:eastAsia="it-IT"/>
        </w:rPr>
      </w:pPr>
    </w:p>
    <w:p w:rsidR="00E53F57" w:rsidRPr="00FF17EC" w:rsidRDefault="00747E4D" w:rsidP="00E53F57">
      <w:r>
        <w:rPr>
          <w:noProof/>
          <w:lang w:eastAsia="en-GB"/>
        </w:rPr>
        <w:lastRenderedPageBreak/>
        <w:drawing>
          <wp:inline distT="0" distB="0" distL="0" distR="0">
            <wp:extent cx="5971540" cy="4226766"/>
            <wp:effectExtent l="19050" t="0" r="0" b="0"/>
            <wp:docPr id="22" name="Immagine 4" descr="C:\Users\biagio\Desktop\AAA Serbia Romania\AA revision after submission\mappe finali\ProgettoSerbiaRomania_hotspots_new(mi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iagio\Desktop\AAA Serbia Romania\AA revision after submission\mappe finali\ProgettoSerbiaRomania_hotspots_new(mines).jpg"/>
                    <pic:cNvPicPr>
                      <a:picLocks noChangeAspect="1" noChangeArrowheads="1"/>
                    </pic:cNvPicPr>
                  </pic:nvPicPr>
                  <pic:blipFill>
                    <a:blip r:embed="rId47"/>
                    <a:srcRect/>
                    <a:stretch>
                      <a:fillRect/>
                    </a:stretch>
                  </pic:blipFill>
                  <pic:spPr bwMode="auto">
                    <a:xfrm>
                      <a:off x="0" y="0"/>
                      <a:ext cx="5971540" cy="4226766"/>
                    </a:xfrm>
                    <a:prstGeom prst="rect">
                      <a:avLst/>
                    </a:prstGeom>
                    <a:noFill/>
                    <a:ln w="9525">
                      <a:noFill/>
                      <a:miter lim="800000"/>
                      <a:headEnd/>
                      <a:tailEnd/>
                    </a:ln>
                  </pic:spPr>
                </pic:pic>
              </a:graphicData>
            </a:graphic>
          </wp:inline>
        </w:drawing>
      </w:r>
    </w:p>
    <w:p w:rsidR="005C4AE7" w:rsidRPr="00FF17EC" w:rsidRDefault="005C4AE7" w:rsidP="005C4AE7">
      <w:pPr>
        <w:pStyle w:val="Caption"/>
        <w:jc w:val="left"/>
        <w:rPr>
          <w:i/>
          <w:sz w:val="22"/>
          <w:lang w:eastAsia="it-IT"/>
        </w:rPr>
      </w:pPr>
      <w:r w:rsidRPr="00FF17EC">
        <w:rPr>
          <w:i/>
          <w:sz w:val="22"/>
        </w:rPr>
        <w:t>Map 8</w:t>
      </w:r>
      <w:r w:rsidRPr="00FF17EC">
        <w:rPr>
          <w:i/>
          <w:sz w:val="22"/>
        </w:rPr>
        <w:noBreakHyphen/>
      </w:r>
      <w:r w:rsidR="00085686" w:rsidRPr="00FF17EC">
        <w:rPr>
          <w:i/>
          <w:sz w:val="22"/>
        </w:rPr>
        <w:fldChar w:fldCharType="begin"/>
      </w:r>
      <w:r w:rsidRPr="00FF17EC">
        <w:rPr>
          <w:i/>
          <w:sz w:val="22"/>
        </w:rPr>
        <w:instrText xml:space="preserve"> SEQ Map \* ARABIC \s 1 </w:instrText>
      </w:r>
      <w:r w:rsidR="00085686" w:rsidRPr="00FF17EC">
        <w:rPr>
          <w:i/>
          <w:sz w:val="22"/>
        </w:rPr>
        <w:fldChar w:fldCharType="separate"/>
      </w:r>
      <w:r w:rsidR="00747E4D">
        <w:rPr>
          <w:i/>
          <w:noProof/>
          <w:sz w:val="22"/>
        </w:rPr>
        <w:t>4</w:t>
      </w:r>
      <w:r w:rsidR="00085686" w:rsidRPr="00FF17EC">
        <w:rPr>
          <w:i/>
          <w:sz w:val="22"/>
        </w:rPr>
        <w:fldChar w:fldCharType="end"/>
      </w:r>
      <w:r w:rsidRPr="00FF17EC">
        <w:rPr>
          <w:i/>
          <w:sz w:val="22"/>
        </w:rPr>
        <w:t xml:space="preserve"> </w:t>
      </w:r>
      <w:r w:rsidRPr="00FF17EC">
        <w:rPr>
          <w:b w:val="0"/>
          <w:i/>
          <w:sz w:val="22"/>
        </w:rPr>
        <w:t>Danube River Basin District: Significant Point Sources of Pollution</w:t>
      </w:r>
    </w:p>
    <w:p w:rsidR="00E53F57" w:rsidRPr="00FF17EC" w:rsidRDefault="00E53F57" w:rsidP="00E53F57">
      <w:pPr>
        <w:rPr>
          <w:lang w:eastAsia="it-IT"/>
        </w:rPr>
      </w:pPr>
      <w:r w:rsidRPr="00FF17EC">
        <w:rPr>
          <w:lang w:eastAsia="it-IT"/>
        </w:rPr>
        <w:t>Source: ICPDR (2009), EEA (2013), own illustration</w:t>
      </w:r>
    </w:p>
    <w:p w:rsidR="00A62261" w:rsidRPr="00FF17EC" w:rsidRDefault="00A62261" w:rsidP="00E53F57">
      <w:pPr>
        <w:rPr>
          <w:lang w:eastAsia="it-IT"/>
        </w:rPr>
      </w:pPr>
    </w:p>
    <w:p w:rsidR="00E53F57" w:rsidRPr="00FF17EC" w:rsidRDefault="00E53F57" w:rsidP="00E53F57">
      <w:pPr>
        <w:pStyle w:val="Heading3"/>
        <w:spacing w:line="240" w:lineRule="auto"/>
        <w:rPr>
          <w:lang w:eastAsia="it-IT"/>
        </w:rPr>
      </w:pPr>
      <w:bookmarkStart w:id="98" w:name="_Toc380860770"/>
      <w:bookmarkStart w:id="99" w:name="_Toc383162917"/>
      <w:r w:rsidRPr="00FF17EC">
        <w:rPr>
          <w:lang w:eastAsia="it-IT"/>
        </w:rPr>
        <w:t>Agriculture</w:t>
      </w:r>
      <w:bookmarkEnd w:id="98"/>
      <w:bookmarkEnd w:id="99"/>
    </w:p>
    <w:p w:rsidR="00E53F57" w:rsidRPr="00FF17EC" w:rsidRDefault="00E53F57" w:rsidP="00E53F57">
      <w:pPr>
        <w:rPr>
          <w:lang w:eastAsia="it-IT"/>
        </w:rPr>
      </w:pPr>
      <w:r w:rsidRPr="00FF17EC">
        <w:rPr>
          <w:lang w:eastAsia="it-IT"/>
        </w:rPr>
        <w:t xml:space="preserve">Agriculture poses a threat to the environment especially in the Northern Plains due to its contribution to the Gross Nutrient Balance of the water bodies and the threats to biodiversity and landscape, since gross-scale commodities production is prominent. </w:t>
      </w:r>
    </w:p>
    <w:p w:rsidR="00E53F57" w:rsidRPr="00FF17EC" w:rsidRDefault="00E53F57" w:rsidP="00E53F57">
      <w:pPr>
        <w:rPr>
          <w:lang w:eastAsia="it-IT"/>
        </w:rPr>
      </w:pPr>
      <w:r w:rsidRPr="00FF17EC">
        <w:rPr>
          <w:lang w:eastAsia="it-IT"/>
        </w:rPr>
        <w:t xml:space="preserve">In peripheral rural areas, where often small scale semi-subsistence agriculture exists, the problems arise mainly due to abandonment of traditional cultivation and decline of the infrastructures (ICPDR (2009), Danube River Basin Management Plan). </w:t>
      </w:r>
    </w:p>
    <w:p w:rsidR="007D1DDB" w:rsidRPr="00FF17EC" w:rsidRDefault="007D1DDB" w:rsidP="00E53F57">
      <w:pPr>
        <w:rPr>
          <w:lang w:eastAsia="it-IT"/>
        </w:rPr>
      </w:pPr>
    </w:p>
    <w:p w:rsidR="00E53F57" w:rsidRPr="00FF17EC" w:rsidRDefault="00E53F57" w:rsidP="00E53F57">
      <w:pPr>
        <w:pStyle w:val="Heading3"/>
        <w:spacing w:line="240" w:lineRule="auto"/>
        <w:rPr>
          <w:lang w:eastAsia="it-IT"/>
        </w:rPr>
      </w:pPr>
      <w:bookmarkStart w:id="100" w:name="_Toc380860771"/>
      <w:bookmarkStart w:id="101" w:name="_Toc383162918"/>
      <w:r w:rsidRPr="00FF17EC">
        <w:rPr>
          <w:lang w:eastAsia="it-IT"/>
        </w:rPr>
        <w:lastRenderedPageBreak/>
        <w:t>Air</w:t>
      </w:r>
      <w:bookmarkEnd w:id="100"/>
      <w:bookmarkEnd w:id="101"/>
    </w:p>
    <w:p w:rsidR="00E53F57" w:rsidRPr="00FF17EC" w:rsidRDefault="00E53F57" w:rsidP="00E53F57">
      <w:pPr>
        <w:rPr>
          <w:lang w:eastAsia="it-IT"/>
        </w:rPr>
      </w:pPr>
      <w:r w:rsidRPr="00FF17EC">
        <w:rPr>
          <w:lang w:eastAsia="it-IT"/>
        </w:rPr>
        <w:t xml:space="preserve">Air pollution has been decreasing as an overall trend due to the decline of industrial activity. At the same time emissions (CO2, NOx, PM10) by traffic and transport have increased due to the increased activity and higher private vehicle fleets. Low quality fuel and heating systems emit considerable amounts of particle matters especially in urban centres, Pančevo, Bor being notorious cases in Serbia. </w:t>
      </w:r>
    </w:p>
    <w:p w:rsidR="00E53F57" w:rsidRPr="00FF17EC" w:rsidRDefault="00E53F57" w:rsidP="00E53F57">
      <w:pPr>
        <w:rPr>
          <w:lang w:eastAsia="it-IT"/>
        </w:rPr>
      </w:pPr>
      <w:r w:rsidRPr="00FF17EC">
        <w:rPr>
          <w:lang w:eastAsia="it-IT"/>
        </w:rPr>
        <w:t>Sulphur-dioxide has been monitored in 31 settlements at 75 sampling sites in 2011.</w:t>
      </w:r>
    </w:p>
    <w:tbl>
      <w:tblPr>
        <w:tblStyle w:val="TableGrid"/>
        <w:tblW w:w="6251" w:type="dxa"/>
        <w:tblLook w:val="04A0" w:firstRow="1" w:lastRow="0" w:firstColumn="1" w:lastColumn="0" w:noHBand="0" w:noVBand="1"/>
      </w:tblPr>
      <w:tblGrid>
        <w:gridCol w:w="2282"/>
        <w:gridCol w:w="1323"/>
        <w:gridCol w:w="1323"/>
        <w:gridCol w:w="1323"/>
      </w:tblGrid>
      <w:tr w:rsidR="00760352" w:rsidRPr="00FF17EC" w:rsidTr="00760352">
        <w:tc>
          <w:tcPr>
            <w:tcW w:w="2282" w:type="dxa"/>
          </w:tcPr>
          <w:p w:rsidR="00760352" w:rsidRPr="00FF17EC" w:rsidRDefault="00760352" w:rsidP="00760352">
            <w:pPr>
              <w:jc w:val="left"/>
              <w:rPr>
                <w:b/>
              </w:rPr>
            </w:pPr>
            <w:r w:rsidRPr="00FF17EC">
              <w:rPr>
                <w:b/>
              </w:rPr>
              <w:t>District</w:t>
            </w:r>
          </w:p>
        </w:tc>
        <w:tc>
          <w:tcPr>
            <w:tcW w:w="1323" w:type="dxa"/>
          </w:tcPr>
          <w:p w:rsidR="00760352" w:rsidRPr="00FF17EC" w:rsidRDefault="00760352" w:rsidP="00760352">
            <w:pPr>
              <w:jc w:val="left"/>
              <w:rPr>
                <w:b/>
              </w:rPr>
            </w:pPr>
            <w:r w:rsidRPr="00FF17EC">
              <w:rPr>
                <w:b/>
              </w:rPr>
              <w:t>SO2</w:t>
            </w:r>
          </w:p>
        </w:tc>
        <w:tc>
          <w:tcPr>
            <w:tcW w:w="1323" w:type="dxa"/>
          </w:tcPr>
          <w:p w:rsidR="00760352" w:rsidRPr="00FF17EC" w:rsidRDefault="00760352" w:rsidP="00760352">
            <w:pPr>
              <w:jc w:val="left"/>
              <w:rPr>
                <w:b/>
              </w:rPr>
            </w:pPr>
            <w:r w:rsidRPr="00FF17EC">
              <w:rPr>
                <w:b/>
              </w:rPr>
              <w:t>NOx</w:t>
            </w:r>
          </w:p>
        </w:tc>
        <w:tc>
          <w:tcPr>
            <w:tcW w:w="1323" w:type="dxa"/>
          </w:tcPr>
          <w:p w:rsidR="00760352" w:rsidRPr="00FF17EC" w:rsidRDefault="00760352" w:rsidP="00760352">
            <w:pPr>
              <w:jc w:val="left"/>
              <w:rPr>
                <w:b/>
              </w:rPr>
            </w:pPr>
            <w:r w:rsidRPr="00FF17EC">
              <w:rPr>
                <w:b/>
              </w:rPr>
              <w:t>NMVOC</w:t>
            </w:r>
          </w:p>
        </w:tc>
      </w:tr>
      <w:tr w:rsidR="00760352" w:rsidRPr="00FF17EC" w:rsidTr="00760352">
        <w:tc>
          <w:tcPr>
            <w:tcW w:w="2282" w:type="dxa"/>
          </w:tcPr>
          <w:p w:rsidR="00760352" w:rsidRPr="00FF17EC" w:rsidRDefault="00760352" w:rsidP="00760352">
            <w:pPr>
              <w:jc w:val="left"/>
            </w:pPr>
            <w:r w:rsidRPr="00FF17EC">
              <w:t>Timiş</w:t>
            </w:r>
          </w:p>
        </w:tc>
        <w:tc>
          <w:tcPr>
            <w:tcW w:w="1323" w:type="dxa"/>
          </w:tcPr>
          <w:p w:rsidR="00760352" w:rsidRPr="00FF17EC" w:rsidRDefault="00760352" w:rsidP="00760352">
            <w:pPr>
              <w:jc w:val="left"/>
            </w:pPr>
            <w:r w:rsidRPr="00FF17EC">
              <w:t>1561 tones</w:t>
            </w:r>
          </w:p>
        </w:tc>
        <w:tc>
          <w:tcPr>
            <w:tcW w:w="1323" w:type="dxa"/>
          </w:tcPr>
          <w:p w:rsidR="00760352" w:rsidRPr="00FF17EC" w:rsidRDefault="00760352" w:rsidP="00760352">
            <w:pPr>
              <w:jc w:val="left"/>
            </w:pPr>
            <w:r w:rsidRPr="00FF17EC">
              <w:t>1477 tones</w:t>
            </w:r>
          </w:p>
        </w:tc>
        <w:tc>
          <w:tcPr>
            <w:tcW w:w="1323" w:type="dxa"/>
          </w:tcPr>
          <w:p w:rsidR="00760352" w:rsidRPr="00FF17EC" w:rsidRDefault="00760352" w:rsidP="00760352">
            <w:pPr>
              <w:jc w:val="left"/>
            </w:pPr>
            <w:r w:rsidRPr="00FF17EC">
              <w:t>3299 tones</w:t>
            </w:r>
          </w:p>
        </w:tc>
      </w:tr>
      <w:tr w:rsidR="00760352" w:rsidRPr="00FF17EC" w:rsidTr="00760352">
        <w:tc>
          <w:tcPr>
            <w:tcW w:w="2282" w:type="dxa"/>
          </w:tcPr>
          <w:p w:rsidR="00760352" w:rsidRPr="00FF17EC" w:rsidRDefault="00760352" w:rsidP="00760352">
            <w:pPr>
              <w:jc w:val="left"/>
            </w:pPr>
            <w:r w:rsidRPr="00FF17EC">
              <w:t>Caraş-Severin</w:t>
            </w:r>
          </w:p>
        </w:tc>
        <w:tc>
          <w:tcPr>
            <w:tcW w:w="1323" w:type="dxa"/>
          </w:tcPr>
          <w:p w:rsidR="00760352" w:rsidRPr="00FF17EC" w:rsidRDefault="00760352" w:rsidP="00760352">
            <w:pPr>
              <w:jc w:val="left"/>
            </w:pPr>
            <w:r w:rsidRPr="00FF17EC">
              <w:t>147 tones</w:t>
            </w:r>
          </w:p>
        </w:tc>
        <w:tc>
          <w:tcPr>
            <w:tcW w:w="1323" w:type="dxa"/>
          </w:tcPr>
          <w:p w:rsidR="00760352" w:rsidRPr="00FF17EC" w:rsidRDefault="00760352" w:rsidP="00760352">
            <w:pPr>
              <w:jc w:val="left"/>
            </w:pPr>
            <w:r w:rsidRPr="00FF17EC">
              <w:t>2950 tones</w:t>
            </w:r>
          </w:p>
        </w:tc>
        <w:tc>
          <w:tcPr>
            <w:tcW w:w="1323" w:type="dxa"/>
          </w:tcPr>
          <w:p w:rsidR="00760352" w:rsidRPr="00FF17EC" w:rsidRDefault="00760352" w:rsidP="00760352">
            <w:pPr>
              <w:jc w:val="left"/>
            </w:pPr>
            <w:r w:rsidRPr="00FF17EC">
              <w:t>5160 tone</w:t>
            </w:r>
          </w:p>
        </w:tc>
      </w:tr>
      <w:tr w:rsidR="00760352" w:rsidRPr="00FF17EC" w:rsidTr="00760352">
        <w:tc>
          <w:tcPr>
            <w:tcW w:w="2282" w:type="dxa"/>
          </w:tcPr>
          <w:p w:rsidR="00760352" w:rsidRPr="00FF17EC" w:rsidRDefault="00760352" w:rsidP="00760352">
            <w:pPr>
              <w:jc w:val="left"/>
            </w:pPr>
            <w:r w:rsidRPr="00FF17EC">
              <w:t>Mehedinţi</w:t>
            </w:r>
          </w:p>
        </w:tc>
        <w:tc>
          <w:tcPr>
            <w:tcW w:w="1323" w:type="dxa"/>
          </w:tcPr>
          <w:p w:rsidR="00760352" w:rsidRPr="00FF17EC" w:rsidRDefault="00760352" w:rsidP="00760352">
            <w:pPr>
              <w:jc w:val="left"/>
            </w:pPr>
            <w:r w:rsidRPr="00FF17EC">
              <w:t>5620 tones</w:t>
            </w:r>
          </w:p>
        </w:tc>
        <w:tc>
          <w:tcPr>
            <w:tcW w:w="1323" w:type="dxa"/>
          </w:tcPr>
          <w:p w:rsidR="00760352" w:rsidRPr="00FF17EC" w:rsidRDefault="00760352" w:rsidP="00760352">
            <w:pPr>
              <w:jc w:val="left"/>
            </w:pPr>
            <w:r w:rsidRPr="00FF17EC">
              <w:t>8888 tones</w:t>
            </w:r>
          </w:p>
        </w:tc>
        <w:tc>
          <w:tcPr>
            <w:tcW w:w="1323" w:type="dxa"/>
          </w:tcPr>
          <w:p w:rsidR="00760352" w:rsidRPr="00FF17EC" w:rsidRDefault="00760352" w:rsidP="00760352">
            <w:pPr>
              <w:jc w:val="left"/>
            </w:pPr>
            <w:r w:rsidRPr="00FF17EC">
              <w:t>1039 tones</w:t>
            </w:r>
          </w:p>
        </w:tc>
      </w:tr>
    </w:tbl>
    <w:p w:rsidR="005C4AE7" w:rsidRPr="00FF17EC" w:rsidRDefault="005C4AE7" w:rsidP="005C4AE7">
      <w:pPr>
        <w:pStyle w:val="Caption"/>
        <w:rPr>
          <w:sz w:val="20"/>
          <w:lang w:val="fr-FR" w:eastAsia="it-IT"/>
        </w:rPr>
      </w:pPr>
      <w:r w:rsidRPr="00FF17EC">
        <w:rPr>
          <w:lang w:val="fr-FR"/>
        </w:rPr>
        <w:t xml:space="preserve">Table </w:t>
      </w:r>
      <w:r w:rsidR="00085686" w:rsidRPr="00FF17EC">
        <w:fldChar w:fldCharType="begin"/>
      </w:r>
      <w:r w:rsidR="00EE702C" w:rsidRPr="00FF17EC">
        <w:rPr>
          <w:lang w:val="fr-FR"/>
        </w:rPr>
        <w:instrText xml:space="preserve"> STYLEREF 1 \s </w:instrText>
      </w:r>
      <w:r w:rsidR="00085686" w:rsidRPr="00FF17EC">
        <w:fldChar w:fldCharType="separate"/>
      </w:r>
      <w:r w:rsidR="009737E5">
        <w:rPr>
          <w:noProof/>
          <w:lang w:val="fr-FR"/>
        </w:rPr>
        <w:t>8</w:t>
      </w:r>
      <w:r w:rsidR="00085686" w:rsidRPr="00FF17EC">
        <w:rPr>
          <w:noProof/>
        </w:rPr>
        <w:fldChar w:fldCharType="end"/>
      </w:r>
      <w:r w:rsidRPr="00FF17EC">
        <w:rPr>
          <w:lang w:val="fr-FR"/>
        </w:rPr>
        <w:noBreakHyphen/>
      </w:r>
      <w:r w:rsidR="00085686" w:rsidRPr="00FF17EC">
        <w:fldChar w:fldCharType="begin"/>
      </w:r>
      <w:r w:rsidR="00EE702C" w:rsidRPr="00FF17EC">
        <w:rPr>
          <w:lang w:val="fr-FR"/>
        </w:rPr>
        <w:instrText xml:space="preserve"> SEQ Table \* ARABIC \s 1 </w:instrText>
      </w:r>
      <w:r w:rsidR="00085686" w:rsidRPr="00FF17EC">
        <w:fldChar w:fldCharType="separate"/>
      </w:r>
      <w:r w:rsidR="009737E5">
        <w:rPr>
          <w:noProof/>
          <w:lang w:val="fr-FR"/>
        </w:rPr>
        <w:t>6</w:t>
      </w:r>
      <w:r w:rsidR="00085686" w:rsidRPr="00FF17EC">
        <w:rPr>
          <w:noProof/>
        </w:rPr>
        <w:fldChar w:fldCharType="end"/>
      </w:r>
      <w:r w:rsidR="008C403B" w:rsidRPr="00FF17EC">
        <w:rPr>
          <w:noProof/>
          <w:lang w:val="fr-FR"/>
        </w:rPr>
        <w:t xml:space="preserve"> Air Pollution, Romanian Districts</w:t>
      </w:r>
    </w:p>
    <w:p w:rsidR="00E53F57" w:rsidRPr="00FF17EC" w:rsidRDefault="00E53F57" w:rsidP="00760352">
      <w:pPr>
        <w:ind w:left="-142"/>
        <w:jc w:val="left"/>
        <w:rPr>
          <w:sz w:val="20"/>
          <w:lang w:eastAsia="it-IT"/>
        </w:rPr>
      </w:pPr>
      <w:r w:rsidRPr="00FF17EC">
        <w:rPr>
          <w:sz w:val="20"/>
          <w:lang w:eastAsia="it-IT"/>
        </w:rPr>
        <w:t>Source: Source: Environment Protection Agency for each Romanian county</w:t>
      </w:r>
      <w:r w:rsidR="005A52D9" w:rsidRPr="00FF17EC">
        <w:rPr>
          <w:sz w:val="20"/>
          <w:lang w:eastAsia="it-IT"/>
        </w:rPr>
        <w:t xml:space="preserve"> </w:t>
      </w:r>
      <w:r w:rsidRPr="00FF17EC">
        <w:rPr>
          <w:sz w:val="20"/>
          <w:lang w:eastAsia="it-IT"/>
        </w:rPr>
        <w:t>(2014) anecdotal information via RDA West</w:t>
      </w:r>
    </w:p>
    <w:p w:rsidR="00B949B6" w:rsidRPr="00FF17EC" w:rsidRDefault="00B949B6" w:rsidP="00B949B6">
      <w:pPr>
        <w:ind w:left="1560"/>
        <w:rPr>
          <w:sz w:val="20"/>
          <w:lang w:eastAsia="it-IT"/>
        </w:rPr>
      </w:pPr>
    </w:p>
    <w:tbl>
      <w:tblPr>
        <w:tblStyle w:val="TableGrid"/>
        <w:tblW w:w="3814" w:type="pct"/>
        <w:tblLook w:val="04A0" w:firstRow="1" w:lastRow="0" w:firstColumn="1" w:lastColumn="0" w:noHBand="0" w:noVBand="1"/>
      </w:tblPr>
      <w:tblGrid>
        <w:gridCol w:w="3013"/>
        <w:gridCol w:w="1800"/>
        <w:gridCol w:w="2353"/>
      </w:tblGrid>
      <w:tr w:rsidR="00E53F57" w:rsidRPr="00FF17EC" w:rsidTr="00760352">
        <w:tc>
          <w:tcPr>
            <w:tcW w:w="2102" w:type="pct"/>
          </w:tcPr>
          <w:p w:rsidR="00E53F57" w:rsidRPr="00FF17EC" w:rsidRDefault="007D1DDB" w:rsidP="00A62261">
            <w:pPr>
              <w:spacing w:after="0" w:line="240" w:lineRule="auto"/>
              <w:jc w:val="center"/>
              <w:rPr>
                <w:rFonts w:cs="Times New Roman"/>
                <w:b/>
                <w:bCs/>
                <w:color w:val="000000"/>
              </w:rPr>
            </w:pPr>
            <w:r w:rsidRPr="00FF17EC">
              <w:rPr>
                <w:rFonts w:cs="Times New Roman"/>
                <w:b/>
              </w:rPr>
              <w:t>Station/ parameter</w:t>
            </w:r>
          </w:p>
        </w:tc>
        <w:tc>
          <w:tcPr>
            <w:tcW w:w="1256" w:type="pct"/>
          </w:tcPr>
          <w:p w:rsidR="00E53F57" w:rsidRPr="00FF17EC" w:rsidRDefault="00E53F57" w:rsidP="00EF40E0">
            <w:pPr>
              <w:spacing w:after="0" w:line="240" w:lineRule="auto"/>
              <w:jc w:val="center"/>
              <w:rPr>
                <w:rFonts w:cs="Times New Roman"/>
                <w:b/>
                <w:bCs/>
                <w:color w:val="000000"/>
              </w:rPr>
            </w:pPr>
            <w:r w:rsidRPr="00FF17EC">
              <w:rPr>
                <w:rFonts w:cs="Times New Roman"/>
                <w:b/>
                <w:bCs/>
              </w:rPr>
              <w:t>SO2 [µg/m</w:t>
            </w:r>
            <w:r w:rsidRPr="00FF17EC">
              <w:rPr>
                <w:rFonts w:cs="Times New Roman"/>
                <w:b/>
                <w:bCs/>
                <w:vertAlign w:val="superscript"/>
              </w:rPr>
              <w:t>3</w:t>
            </w:r>
            <w:r w:rsidRPr="00FF17EC">
              <w:rPr>
                <w:rFonts w:cs="Times New Roman"/>
                <w:b/>
                <w:bCs/>
              </w:rPr>
              <w:t>]</w:t>
            </w:r>
          </w:p>
        </w:tc>
        <w:tc>
          <w:tcPr>
            <w:tcW w:w="1642" w:type="pct"/>
          </w:tcPr>
          <w:p w:rsidR="00E53F57" w:rsidRPr="00FF17EC" w:rsidRDefault="00E53F57" w:rsidP="00EF40E0">
            <w:pPr>
              <w:spacing w:after="0" w:line="240" w:lineRule="auto"/>
              <w:jc w:val="center"/>
              <w:rPr>
                <w:rFonts w:cs="Times New Roman"/>
                <w:b/>
                <w:bCs/>
                <w:color w:val="000000"/>
                <w:lang w:val="es-ES"/>
              </w:rPr>
            </w:pPr>
            <w:r w:rsidRPr="00FF17EC">
              <w:rPr>
                <w:rFonts w:cs="Times New Roman"/>
                <w:b/>
                <w:bCs/>
                <w:lang w:val="es-ES"/>
              </w:rPr>
              <w:t>NOx [µg/m</w:t>
            </w:r>
            <w:r w:rsidRPr="00FF17EC">
              <w:rPr>
                <w:rFonts w:cs="Times New Roman"/>
                <w:b/>
                <w:bCs/>
                <w:vertAlign w:val="superscript"/>
                <w:lang w:val="es-ES"/>
              </w:rPr>
              <w:t>3</w:t>
            </w:r>
            <w:r w:rsidRPr="00FF17EC">
              <w:rPr>
                <w:rFonts w:cs="Times New Roman"/>
                <w:b/>
                <w:bCs/>
                <w:lang w:val="es-ES"/>
              </w:rPr>
              <w:t>]*</w:t>
            </w:r>
          </w:p>
        </w:tc>
      </w:tr>
      <w:tr w:rsidR="00E53F57" w:rsidRPr="00FF17EC" w:rsidTr="00760352">
        <w:tc>
          <w:tcPr>
            <w:tcW w:w="2102" w:type="pct"/>
            <w:hideMark/>
          </w:tcPr>
          <w:p w:rsidR="00EF40E0" w:rsidRPr="00FF17EC" w:rsidRDefault="00E53F57" w:rsidP="00EF40E0">
            <w:pPr>
              <w:spacing w:after="0" w:line="240" w:lineRule="auto"/>
              <w:jc w:val="center"/>
              <w:rPr>
                <w:rFonts w:cs="Times New Roman"/>
                <w:b/>
                <w:bCs/>
                <w:color w:val="000000"/>
              </w:rPr>
            </w:pPr>
            <w:r w:rsidRPr="00FF17EC">
              <w:rPr>
                <w:rFonts w:cs="Times New Roman"/>
                <w:b/>
                <w:bCs/>
                <w:color w:val="000000"/>
              </w:rPr>
              <w:t>Kikinda</w:t>
            </w:r>
          </w:p>
          <w:p w:rsidR="00E53F57" w:rsidRPr="00FF17EC" w:rsidRDefault="00E53F57" w:rsidP="00EF40E0">
            <w:pPr>
              <w:spacing w:after="0" w:line="240" w:lineRule="auto"/>
              <w:jc w:val="center"/>
              <w:rPr>
                <w:rFonts w:cs="Times New Roman"/>
                <w:b/>
                <w:bCs/>
                <w:color w:val="000000"/>
              </w:rPr>
            </w:pPr>
            <w:r w:rsidRPr="00FF17EC">
              <w:rPr>
                <w:rFonts w:cs="Times New Roman"/>
                <w:b/>
                <w:bCs/>
                <w:i/>
                <w:iCs/>
                <w:color w:val="000000"/>
              </w:rPr>
              <w:t>18/03/2014 15:30</w:t>
            </w:r>
          </w:p>
        </w:tc>
        <w:tc>
          <w:tcPr>
            <w:tcW w:w="1256" w:type="pct"/>
          </w:tcPr>
          <w:p w:rsidR="00E53F57" w:rsidRPr="00FF17EC" w:rsidRDefault="00E53F57" w:rsidP="00A62261">
            <w:pPr>
              <w:spacing w:after="0" w:line="240" w:lineRule="auto"/>
              <w:jc w:val="center"/>
              <w:rPr>
                <w:rFonts w:cs="Times New Roman"/>
                <w:b/>
                <w:bCs/>
                <w:color w:val="000000"/>
              </w:rPr>
            </w:pPr>
            <w:r w:rsidRPr="00FF17EC">
              <w:rPr>
                <w:rFonts w:cs="Times New Roman"/>
                <w:b/>
                <w:bCs/>
                <w:color w:val="000000"/>
              </w:rPr>
              <w:t>11.4</w:t>
            </w:r>
          </w:p>
        </w:tc>
        <w:tc>
          <w:tcPr>
            <w:tcW w:w="1642" w:type="pct"/>
          </w:tcPr>
          <w:p w:rsidR="00E53F57" w:rsidRPr="00FF17EC" w:rsidRDefault="00E53F57" w:rsidP="00A62261">
            <w:pPr>
              <w:spacing w:after="0" w:line="240" w:lineRule="auto"/>
              <w:jc w:val="center"/>
              <w:rPr>
                <w:rFonts w:cs="Times New Roman"/>
                <w:b/>
                <w:bCs/>
                <w:color w:val="000000"/>
              </w:rPr>
            </w:pPr>
            <w:r w:rsidRPr="00FF17EC">
              <w:rPr>
                <w:rFonts w:cs="Times New Roman"/>
                <w:b/>
                <w:bCs/>
                <w:color w:val="000000"/>
              </w:rPr>
              <w:t>6.1</w:t>
            </w:r>
          </w:p>
        </w:tc>
      </w:tr>
      <w:tr w:rsidR="00E53F57" w:rsidRPr="00FF17EC" w:rsidTr="00760352">
        <w:tc>
          <w:tcPr>
            <w:tcW w:w="2102" w:type="pct"/>
            <w:hideMark/>
          </w:tcPr>
          <w:p w:rsidR="00EF40E0" w:rsidRPr="00FF17EC" w:rsidRDefault="00E53F57" w:rsidP="00EF40E0">
            <w:pPr>
              <w:spacing w:after="0" w:line="240" w:lineRule="auto"/>
              <w:jc w:val="center"/>
              <w:rPr>
                <w:rFonts w:cs="Times New Roman"/>
                <w:b/>
                <w:bCs/>
                <w:color w:val="000000"/>
              </w:rPr>
            </w:pPr>
            <w:r w:rsidRPr="00FF17EC">
              <w:rPr>
                <w:rFonts w:cs="Times New Roman"/>
                <w:b/>
                <w:bCs/>
                <w:color w:val="000000"/>
              </w:rPr>
              <w:t xml:space="preserve">Pančevo </w:t>
            </w:r>
            <w:r w:rsidR="00EF40E0" w:rsidRPr="00FF17EC">
              <w:rPr>
                <w:rFonts w:cs="Times New Roman"/>
                <w:b/>
                <w:bCs/>
                <w:color w:val="000000"/>
              </w:rPr>
              <w:t>–</w:t>
            </w:r>
            <w:r w:rsidRPr="00FF17EC">
              <w:rPr>
                <w:rFonts w:cs="Times New Roman"/>
                <w:b/>
                <w:bCs/>
                <w:color w:val="000000"/>
              </w:rPr>
              <w:t xml:space="preserve"> Sodara</w:t>
            </w:r>
          </w:p>
          <w:p w:rsidR="00E53F57" w:rsidRPr="00FF17EC" w:rsidRDefault="00E53F57" w:rsidP="00EF40E0">
            <w:pPr>
              <w:spacing w:after="0" w:line="240" w:lineRule="auto"/>
              <w:jc w:val="center"/>
              <w:rPr>
                <w:rFonts w:cs="Times New Roman"/>
                <w:b/>
                <w:bCs/>
                <w:color w:val="000000"/>
              </w:rPr>
            </w:pPr>
            <w:r w:rsidRPr="00FF17EC">
              <w:rPr>
                <w:rFonts w:cs="Times New Roman"/>
                <w:b/>
                <w:bCs/>
                <w:i/>
                <w:iCs/>
                <w:color w:val="000000"/>
              </w:rPr>
              <w:t>18/03/2014 15:30</w:t>
            </w:r>
          </w:p>
        </w:tc>
        <w:tc>
          <w:tcPr>
            <w:tcW w:w="1256" w:type="pct"/>
          </w:tcPr>
          <w:p w:rsidR="00E53F57" w:rsidRPr="00FF17EC" w:rsidRDefault="00E53F57" w:rsidP="00A62261">
            <w:pPr>
              <w:spacing w:after="0" w:line="240" w:lineRule="auto"/>
              <w:jc w:val="center"/>
              <w:rPr>
                <w:rFonts w:cs="Times New Roman"/>
                <w:b/>
                <w:bCs/>
                <w:color w:val="000000"/>
              </w:rPr>
            </w:pPr>
            <w:r w:rsidRPr="00FF17EC">
              <w:rPr>
                <w:rFonts w:cs="Times New Roman"/>
                <w:b/>
                <w:bCs/>
                <w:color w:val="000000"/>
              </w:rPr>
              <w:t>9.3</w:t>
            </w:r>
          </w:p>
        </w:tc>
        <w:tc>
          <w:tcPr>
            <w:tcW w:w="1642" w:type="pct"/>
          </w:tcPr>
          <w:p w:rsidR="00E53F57" w:rsidRPr="00FF17EC" w:rsidRDefault="00E53F57" w:rsidP="00A62261">
            <w:pPr>
              <w:spacing w:after="0" w:line="240" w:lineRule="auto"/>
              <w:jc w:val="center"/>
              <w:rPr>
                <w:rFonts w:cs="Times New Roman"/>
                <w:b/>
                <w:bCs/>
                <w:color w:val="000000"/>
              </w:rPr>
            </w:pPr>
          </w:p>
        </w:tc>
      </w:tr>
      <w:tr w:rsidR="00E53F57" w:rsidRPr="00FF17EC" w:rsidTr="00760352">
        <w:tc>
          <w:tcPr>
            <w:tcW w:w="2102" w:type="pct"/>
            <w:hideMark/>
          </w:tcPr>
          <w:p w:rsidR="00EF40E0" w:rsidRPr="00FF17EC" w:rsidRDefault="00E53F57" w:rsidP="00EF40E0">
            <w:pPr>
              <w:spacing w:after="0" w:line="240" w:lineRule="auto"/>
              <w:jc w:val="center"/>
              <w:rPr>
                <w:rFonts w:cs="Times New Roman"/>
                <w:b/>
                <w:bCs/>
                <w:color w:val="000000"/>
              </w:rPr>
            </w:pPr>
            <w:r w:rsidRPr="00FF17EC">
              <w:rPr>
                <w:rFonts w:cs="Times New Roman"/>
                <w:b/>
                <w:bCs/>
                <w:color w:val="000000"/>
              </w:rPr>
              <w:t>Kostolac</w:t>
            </w:r>
          </w:p>
          <w:p w:rsidR="00E53F57" w:rsidRPr="00FF17EC" w:rsidRDefault="00E53F57" w:rsidP="00EF40E0">
            <w:pPr>
              <w:spacing w:after="0" w:line="240" w:lineRule="auto"/>
              <w:jc w:val="center"/>
              <w:rPr>
                <w:rFonts w:cs="Times New Roman"/>
                <w:b/>
                <w:bCs/>
                <w:color w:val="000000"/>
              </w:rPr>
            </w:pPr>
            <w:r w:rsidRPr="00FF17EC">
              <w:rPr>
                <w:rFonts w:cs="Times New Roman"/>
                <w:b/>
                <w:bCs/>
                <w:i/>
                <w:iCs/>
                <w:color w:val="000000"/>
              </w:rPr>
              <w:t>18/03/2014 15:30</w:t>
            </w:r>
          </w:p>
        </w:tc>
        <w:tc>
          <w:tcPr>
            <w:tcW w:w="1256" w:type="pct"/>
          </w:tcPr>
          <w:p w:rsidR="00E53F57" w:rsidRPr="00FF17EC" w:rsidRDefault="00E53F57" w:rsidP="00A62261">
            <w:pPr>
              <w:spacing w:after="0" w:line="240" w:lineRule="auto"/>
              <w:jc w:val="center"/>
              <w:rPr>
                <w:rFonts w:cs="Times New Roman"/>
                <w:b/>
                <w:bCs/>
                <w:color w:val="000000"/>
              </w:rPr>
            </w:pPr>
            <w:r w:rsidRPr="00FF17EC">
              <w:rPr>
                <w:rFonts w:cs="Times New Roman"/>
                <w:b/>
                <w:bCs/>
                <w:color w:val="000000"/>
              </w:rPr>
              <w:t>21.3</w:t>
            </w:r>
          </w:p>
        </w:tc>
        <w:tc>
          <w:tcPr>
            <w:tcW w:w="1642" w:type="pct"/>
          </w:tcPr>
          <w:p w:rsidR="00E53F57" w:rsidRPr="00FF17EC" w:rsidRDefault="00E53F57" w:rsidP="00A62261">
            <w:pPr>
              <w:spacing w:after="0" w:line="240" w:lineRule="auto"/>
              <w:jc w:val="center"/>
              <w:rPr>
                <w:rFonts w:cs="Times New Roman"/>
                <w:b/>
                <w:bCs/>
                <w:color w:val="000000"/>
              </w:rPr>
            </w:pPr>
            <w:r w:rsidRPr="00FF17EC">
              <w:rPr>
                <w:rFonts w:cs="Times New Roman"/>
                <w:b/>
                <w:bCs/>
                <w:color w:val="000000"/>
              </w:rPr>
              <w:t>11.1</w:t>
            </w:r>
          </w:p>
        </w:tc>
      </w:tr>
      <w:tr w:rsidR="00E53F57" w:rsidRPr="00FF17EC" w:rsidTr="00760352">
        <w:tc>
          <w:tcPr>
            <w:tcW w:w="2102" w:type="pct"/>
            <w:hideMark/>
          </w:tcPr>
          <w:p w:rsidR="00EF40E0" w:rsidRPr="00FF17EC" w:rsidRDefault="00E53F57" w:rsidP="00EF40E0">
            <w:pPr>
              <w:spacing w:after="0" w:line="240" w:lineRule="auto"/>
              <w:jc w:val="center"/>
              <w:rPr>
                <w:rFonts w:cs="Times New Roman"/>
                <w:b/>
                <w:bCs/>
                <w:color w:val="000000"/>
              </w:rPr>
            </w:pPr>
            <w:r w:rsidRPr="00FF17EC">
              <w:rPr>
                <w:rFonts w:cs="Times New Roman"/>
                <w:b/>
                <w:bCs/>
                <w:color w:val="000000"/>
              </w:rPr>
              <w:t>Bor - Institut RIM</w:t>
            </w:r>
          </w:p>
          <w:p w:rsidR="00E53F57" w:rsidRPr="00FF17EC" w:rsidRDefault="00E53F57" w:rsidP="00EF40E0">
            <w:pPr>
              <w:spacing w:after="0" w:line="240" w:lineRule="auto"/>
              <w:jc w:val="center"/>
              <w:rPr>
                <w:rFonts w:cs="Times New Roman"/>
                <w:b/>
                <w:bCs/>
                <w:color w:val="000000"/>
              </w:rPr>
            </w:pPr>
            <w:r w:rsidRPr="00FF17EC">
              <w:rPr>
                <w:rFonts w:cs="Times New Roman"/>
                <w:b/>
                <w:bCs/>
                <w:i/>
                <w:iCs/>
                <w:color w:val="000000"/>
              </w:rPr>
              <w:t>18/03/2014 15:30</w:t>
            </w:r>
          </w:p>
        </w:tc>
        <w:tc>
          <w:tcPr>
            <w:tcW w:w="1256" w:type="pct"/>
          </w:tcPr>
          <w:p w:rsidR="00E53F57" w:rsidRPr="00FF17EC" w:rsidRDefault="00E53F57" w:rsidP="00A62261">
            <w:pPr>
              <w:spacing w:after="0" w:line="240" w:lineRule="auto"/>
              <w:jc w:val="center"/>
              <w:rPr>
                <w:rFonts w:cs="Times New Roman"/>
                <w:b/>
                <w:bCs/>
                <w:color w:val="000000"/>
              </w:rPr>
            </w:pPr>
            <w:r w:rsidRPr="00FF17EC">
              <w:rPr>
                <w:rFonts w:cs="Times New Roman"/>
                <w:b/>
                <w:bCs/>
                <w:color w:val="000000"/>
              </w:rPr>
              <w:t>6.9</w:t>
            </w:r>
          </w:p>
        </w:tc>
        <w:tc>
          <w:tcPr>
            <w:tcW w:w="1642" w:type="pct"/>
          </w:tcPr>
          <w:p w:rsidR="00E53F57" w:rsidRPr="00FF17EC" w:rsidRDefault="00E53F57" w:rsidP="00A62261">
            <w:pPr>
              <w:spacing w:after="0" w:line="240" w:lineRule="auto"/>
              <w:jc w:val="center"/>
              <w:rPr>
                <w:rFonts w:cs="Times New Roman"/>
                <w:b/>
                <w:bCs/>
                <w:color w:val="000000"/>
              </w:rPr>
            </w:pPr>
            <w:r w:rsidRPr="00FF17EC">
              <w:rPr>
                <w:rFonts w:cs="Times New Roman"/>
                <w:b/>
                <w:bCs/>
                <w:color w:val="000000"/>
              </w:rPr>
              <w:t>47.6</w:t>
            </w:r>
          </w:p>
        </w:tc>
      </w:tr>
      <w:tr w:rsidR="00E53F57" w:rsidRPr="00FF17EC" w:rsidTr="00760352">
        <w:tc>
          <w:tcPr>
            <w:tcW w:w="2102" w:type="pct"/>
            <w:hideMark/>
          </w:tcPr>
          <w:p w:rsidR="00EF40E0" w:rsidRPr="00FF17EC" w:rsidRDefault="00E53F57" w:rsidP="00EF40E0">
            <w:pPr>
              <w:spacing w:after="0" w:line="240" w:lineRule="auto"/>
              <w:jc w:val="center"/>
              <w:rPr>
                <w:rFonts w:cs="Times New Roman"/>
                <w:b/>
                <w:bCs/>
                <w:color w:val="000000"/>
              </w:rPr>
            </w:pPr>
            <w:r w:rsidRPr="00FF17EC">
              <w:rPr>
                <w:rFonts w:cs="Times New Roman"/>
                <w:b/>
                <w:bCs/>
                <w:color w:val="000000"/>
              </w:rPr>
              <w:t>Bor - Gradski Park 2</w:t>
            </w:r>
          </w:p>
          <w:p w:rsidR="00E53F57" w:rsidRPr="00FF17EC" w:rsidRDefault="00E53F57" w:rsidP="00EF40E0">
            <w:pPr>
              <w:spacing w:after="0" w:line="240" w:lineRule="auto"/>
              <w:jc w:val="center"/>
              <w:rPr>
                <w:rFonts w:cs="Times New Roman"/>
                <w:b/>
                <w:bCs/>
                <w:color w:val="000000"/>
              </w:rPr>
            </w:pPr>
            <w:r w:rsidRPr="00FF17EC">
              <w:rPr>
                <w:rFonts w:cs="Times New Roman"/>
                <w:b/>
                <w:bCs/>
                <w:i/>
                <w:iCs/>
                <w:color w:val="000000"/>
              </w:rPr>
              <w:t>18/03/2014 15:30</w:t>
            </w:r>
          </w:p>
        </w:tc>
        <w:tc>
          <w:tcPr>
            <w:tcW w:w="1256" w:type="pct"/>
          </w:tcPr>
          <w:p w:rsidR="00E53F57" w:rsidRPr="00FF17EC" w:rsidRDefault="00E53F57" w:rsidP="00A62261">
            <w:pPr>
              <w:spacing w:after="0" w:line="240" w:lineRule="auto"/>
              <w:jc w:val="center"/>
              <w:rPr>
                <w:rFonts w:cs="Times New Roman"/>
                <w:b/>
                <w:bCs/>
                <w:color w:val="000000"/>
              </w:rPr>
            </w:pPr>
            <w:r w:rsidRPr="00FF17EC">
              <w:rPr>
                <w:rFonts w:cs="Times New Roman"/>
                <w:b/>
                <w:bCs/>
                <w:color w:val="000000"/>
              </w:rPr>
              <w:t>9.0</w:t>
            </w:r>
          </w:p>
        </w:tc>
        <w:tc>
          <w:tcPr>
            <w:tcW w:w="1642" w:type="pct"/>
          </w:tcPr>
          <w:p w:rsidR="00E53F57" w:rsidRPr="00FF17EC" w:rsidRDefault="00E53F57" w:rsidP="00A62261">
            <w:pPr>
              <w:spacing w:after="0" w:line="240" w:lineRule="auto"/>
              <w:jc w:val="center"/>
              <w:rPr>
                <w:rFonts w:cs="Times New Roman"/>
                <w:b/>
                <w:bCs/>
                <w:color w:val="000000"/>
              </w:rPr>
            </w:pPr>
          </w:p>
        </w:tc>
      </w:tr>
      <w:tr w:rsidR="00E53F57" w:rsidRPr="00FF17EC" w:rsidTr="00760352">
        <w:tc>
          <w:tcPr>
            <w:tcW w:w="2102" w:type="pct"/>
            <w:hideMark/>
          </w:tcPr>
          <w:p w:rsidR="00EF40E0" w:rsidRPr="00FF17EC" w:rsidRDefault="00E53F57" w:rsidP="00EF40E0">
            <w:pPr>
              <w:spacing w:after="0" w:line="240" w:lineRule="auto"/>
              <w:jc w:val="center"/>
              <w:rPr>
                <w:rFonts w:cs="Times New Roman"/>
                <w:b/>
                <w:bCs/>
                <w:color w:val="000000"/>
              </w:rPr>
            </w:pPr>
            <w:r w:rsidRPr="00FF17EC">
              <w:rPr>
                <w:rFonts w:cs="Times New Roman"/>
                <w:b/>
                <w:bCs/>
                <w:color w:val="000000"/>
              </w:rPr>
              <w:t xml:space="preserve">Bor </w:t>
            </w:r>
            <w:r w:rsidR="00EF40E0" w:rsidRPr="00FF17EC">
              <w:rPr>
                <w:rFonts w:cs="Times New Roman"/>
                <w:b/>
                <w:bCs/>
                <w:color w:val="000000"/>
              </w:rPr>
              <w:t>–</w:t>
            </w:r>
            <w:r w:rsidRPr="00FF17EC">
              <w:rPr>
                <w:rFonts w:cs="Times New Roman"/>
                <w:b/>
                <w:bCs/>
                <w:color w:val="000000"/>
              </w:rPr>
              <w:t xml:space="preserve"> Krivelj</w:t>
            </w:r>
          </w:p>
          <w:p w:rsidR="00E53F57" w:rsidRPr="00FF17EC" w:rsidRDefault="00E53F57" w:rsidP="00EF40E0">
            <w:pPr>
              <w:spacing w:after="0" w:line="240" w:lineRule="auto"/>
              <w:jc w:val="center"/>
              <w:rPr>
                <w:rFonts w:cs="Times New Roman"/>
                <w:b/>
                <w:bCs/>
                <w:color w:val="000000"/>
              </w:rPr>
            </w:pPr>
            <w:r w:rsidRPr="00FF17EC">
              <w:rPr>
                <w:rFonts w:cs="Times New Roman"/>
                <w:b/>
                <w:bCs/>
                <w:i/>
                <w:iCs/>
                <w:color w:val="000000"/>
              </w:rPr>
              <w:t>18/03/2014 15:30</w:t>
            </w:r>
          </w:p>
        </w:tc>
        <w:tc>
          <w:tcPr>
            <w:tcW w:w="1256" w:type="pct"/>
          </w:tcPr>
          <w:p w:rsidR="00E53F57" w:rsidRPr="00FF17EC" w:rsidRDefault="00E53F57" w:rsidP="00A62261">
            <w:pPr>
              <w:spacing w:after="0" w:line="240" w:lineRule="auto"/>
              <w:jc w:val="center"/>
              <w:rPr>
                <w:rFonts w:cs="Times New Roman"/>
                <w:b/>
                <w:bCs/>
                <w:color w:val="000000"/>
              </w:rPr>
            </w:pPr>
            <w:r w:rsidRPr="00FF17EC">
              <w:rPr>
                <w:rFonts w:cs="Times New Roman"/>
                <w:b/>
                <w:bCs/>
                <w:color w:val="000000"/>
              </w:rPr>
              <w:t>7.7</w:t>
            </w:r>
          </w:p>
        </w:tc>
        <w:tc>
          <w:tcPr>
            <w:tcW w:w="1642" w:type="pct"/>
          </w:tcPr>
          <w:p w:rsidR="00E53F57" w:rsidRPr="00FF17EC" w:rsidRDefault="00E53F57" w:rsidP="00A62261">
            <w:pPr>
              <w:spacing w:after="0" w:line="240" w:lineRule="auto"/>
              <w:jc w:val="center"/>
              <w:rPr>
                <w:rFonts w:cs="Times New Roman"/>
                <w:b/>
                <w:bCs/>
                <w:color w:val="000000"/>
              </w:rPr>
            </w:pPr>
          </w:p>
        </w:tc>
      </w:tr>
      <w:tr w:rsidR="008C403B" w:rsidRPr="00FF17EC" w:rsidTr="00760352">
        <w:tc>
          <w:tcPr>
            <w:tcW w:w="2102" w:type="pct"/>
          </w:tcPr>
          <w:p w:rsidR="008C403B" w:rsidRPr="00FF17EC" w:rsidRDefault="008C403B" w:rsidP="008C403B">
            <w:pPr>
              <w:spacing w:after="0" w:line="240" w:lineRule="auto"/>
              <w:jc w:val="center"/>
              <w:rPr>
                <w:rFonts w:cs="Times New Roman"/>
                <w:b/>
                <w:bCs/>
                <w:color w:val="000000"/>
              </w:rPr>
            </w:pPr>
            <w:r w:rsidRPr="00FF17EC">
              <w:rPr>
                <w:rFonts w:cs="Times New Roman"/>
                <w:b/>
                <w:bCs/>
                <w:color w:val="000000"/>
              </w:rPr>
              <w:t>Smederevo - Carina</w:t>
            </w:r>
            <w:r w:rsidRPr="00FF17EC">
              <w:rPr>
                <w:rFonts w:cs="Times New Roman"/>
                <w:b/>
                <w:bCs/>
                <w:color w:val="000000"/>
              </w:rPr>
              <w:br/>
              <w:t>18/03/2014 15:30</w:t>
            </w:r>
          </w:p>
        </w:tc>
        <w:tc>
          <w:tcPr>
            <w:tcW w:w="1256" w:type="pct"/>
          </w:tcPr>
          <w:p w:rsidR="008C403B" w:rsidRPr="00FF17EC" w:rsidRDefault="008C403B" w:rsidP="008C403B">
            <w:pPr>
              <w:spacing w:after="0" w:line="240" w:lineRule="auto"/>
              <w:jc w:val="center"/>
              <w:rPr>
                <w:rFonts w:cs="Times New Roman"/>
                <w:b/>
                <w:bCs/>
                <w:color w:val="000000"/>
              </w:rPr>
            </w:pPr>
            <w:r w:rsidRPr="00FF17EC">
              <w:rPr>
                <w:rFonts w:cs="Times New Roman"/>
                <w:b/>
                <w:bCs/>
                <w:color w:val="000000"/>
              </w:rPr>
              <w:t>58.5</w:t>
            </w:r>
          </w:p>
        </w:tc>
        <w:tc>
          <w:tcPr>
            <w:tcW w:w="1642" w:type="pct"/>
          </w:tcPr>
          <w:p w:rsidR="008C403B" w:rsidRPr="00FF17EC" w:rsidRDefault="008C403B" w:rsidP="008C403B">
            <w:pPr>
              <w:spacing w:after="0" w:line="240" w:lineRule="auto"/>
              <w:jc w:val="center"/>
              <w:rPr>
                <w:rFonts w:cs="Times New Roman"/>
                <w:b/>
                <w:bCs/>
                <w:color w:val="000000"/>
              </w:rPr>
            </w:pPr>
            <w:r w:rsidRPr="00FF17EC">
              <w:rPr>
                <w:rFonts w:cs="Times New Roman"/>
                <w:b/>
                <w:bCs/>
                <w:color w:val="000000"/>
              </w:rPr>
              <w:t>…</w:t>
            </w:r>
          </w:p>
        </w:tc>
      </w:tr>
      <w:tr w:rsidR="008C403B" w:rsidRPr="00FF17EC" w:rsidTr="00760352">
        <w:tc>
          <w:tcPr>
            <w:tcW w:w="2102" w:type="pct"/>
          </w:tcPr>
          <w:p w:rsidR="008C403B" w:rsidRPr="00FF17EC" w:rsidRDefault="008C403B" w:rsidP="008C403B">
            <w:pPr>
              <w:spacing w:after="0" w:line="240" w:lineRule="auto"/>
              <w:jc w:val="center"/>
              <w:rPr>
                <w:rFonts w:cs="Times New Roman"/>
                <w:b/>
                <w:bCs/>
                <w:color w:val="000000"/>
              </w:rPr>
            </w:pPr>
            <w:r w:rsidRPr="00FF17EC">
              <w:rPr>
                <w:rFonts w:cs="Times New Roman"/>
                <w:b/>
                <w:bCs/>
                <w:color w:val="000000"/>
              </w:rPr>
              <w:t>Smederevo - Centar</w:t>
            </w:r>
            <w:r w:rsidRPr="00FF17EC">
              <w:rPr>
                <w:rFonts w:cs="Times New Roman"/>
                <w:b/>
                <w:bCs/>
                <w:color w:val="000000"/>
              </w:rPr>
              <w:br/>
              <w:t>18/03/2014 15:30</w:t>
            </w:r>
          </w:p>
        </w:tc>
        <w:tc>
          <w:tcPr>
            <w:tcW w:w="1256" w:type="pct"/>
          </w:tcPr>
          <w:p w:rsidR="008C403B" w:rsidRPr="00FF17EC" w:rsidRDefault="008C403B" w:rsidP="008C403B">
            <w:pPr>
              <w:spacing w:after="0" w:line="240" w:lineRule="auto"/>
              <w:jc w:val="center"/>
              <w:rPr>
                <w:rFonts w:cs="Times New Roman"/>
                <w:b/>
                <w:bCs/>
                <w:color w:val="000000"/>
              </w:rPr>
            </w:pPr>
            <w:r w:rsidRPr="00FF17EC">
              <w:rPr>
                <w:rFonts w:cs="Times New Roman"/>
                <w:b/>
                <w:bCs/>
                <w:color w:val="000000"/>
              </w:rPr>
              <w:t>59.1</w:t>
            </w:r>
          </w:p>
        </w:tc>
        <w:tc>
          <w:tcPr>
            <w:tcW w:w="1642" w:type="pct"/>
          </w:tcPr>
          <w:p w:rsidR="008C403B" w:rsidRPr="00FF17EC" w:rsidRDefault="008C403B" w:rsidP="008C403B">
            <w:pPr>
              <w:spacing w:after="0" w:line="240" w:lineRule="auto"/>
              <w:jc w:val="center"/>
              <w:rPr>
                <w:rFonts w:cs="Times New Roman"/>
                <w:b/>
                <w:bCs/>
                <w:color w:val="000000"/>
              </w:rPr>
            </w:pPr>
            <w:r w:rsidRPr="00FF17EC">
              <w:rPr>
                <w:rFonts w:cs="Times New Roman"/>
                <w:b/>
                <w:bCs/>
                <w:color w:val="000000"/>
              </w:rPr>
              <w:t>83.3</w:t>
            </w:r>
          </w:p>
        </w:tc>
      </w:tr>
    </w:tbl>
    <w:p w:rsidR="005C4AE7" w:rsidRPr="00FF17EC" w:rsidRDefault="005C4AE7" w:rsidP="005C4AE7">
      <w:pPr>
        <w:pStyle w:val="Caption"/>
        <w:rPr>
          <w:sz w:val="20"/>
          <w:lang w:val="fr-FR"/>
        </w:rPr>
      </w:pPr>
      <w:r w:rsidRPr="00FF17EC">
        <w:rPr>
          <w:lang w:val="fr-FR"/>
        </w:rPr>
        <w:t xml:space="preserve">Table </w:t>
      </w:r>
      <w:r w:rsidR="00085686" w:rsidRPr="00FF17EC">
        <w:fldChar w:fldCharType="begin"/>
      </w:r>
      <w:r w:rsidRPr="00FF17EC">
        <w:rPr>
          <w:lang w:val="fr-FR"/>
        </w:rPr>
        <w:instrText xml:space="preserve"> STYLEREF 1 \s </w:instrText>
      </w:r>
      <w:r w:rsidR="00085686" w:rsidRPr="00FF17EC">
        <w:fldChar w:fldCharType="separate"/>
      </w:r>
      <w:r w:rsidR="009737E5">
        <w:rPr>
          <w:noProof/>
          <w:lang w:val="fr-FR"/>
        </w:rPr>
        <w:t>8</w:t>
      </w:r>
      <w:r w:rsidR="00085686" w:rsidRPr="00FF17EC">
        <w:fldChar w:fldCharType="end"/>
      </w:r>
      <w:r w:rsidRPr="00FF17EC">
        <w:rPr>
          <w:lang w:val="fr-FR"/>
        </w:rPr>
        <w:noBreakHyphen/>
      </w:r>
      <w:r w:rsidR="00085686" w:rsidRPr="00FF17EC">
        <w:fldChar w:fldCharType="begin"/>
      </w:r>
      <w:r w:rsidRPr="00FF17EC">
        <w:rPr>
          <w:lang w:val="fr-FR"/>
        </w:rPr>
        <w:instrText xml:space="preserve"> SEQ Table \* ARABIC \s 1 </w:instrText>
      </w:r>
      <w:r w:rsidR="00085686" w:rsidRPr="00FF17EC">
        <w:fldChar w:fldCharType="separate"/>
      </w:r>
      <w:r w:rsidR="009737E5">
        <w:rPr>
          <w:noProof/>
          <w:lang w:val="fr-FR"/>
        </w:rPr>
        <w:t>7</w:t>
      </w:r>
      <w:r w:rsidR="00085686" w:rsidRPr="00FF17EC">
        <w:fldChar w:fldCharType="end"/>
      </w:r>
      <w:r w:rsidR="008C403B" w:rsidRPr="00FF17EC">
        <w:t xml:space="preserve"> Air Pollution, Serbian Districts</w:t>
      </w:r>
    </w:p>
    <w:p w:rsidR="00E53F57" w:rsidRPr="00FF17EC" w:rsidRDefault="00E53F57" w:rsidP="00E53F57">
      <w:pPr>
        <w:rPr>
          <w:sz w:val="20"/>
          <w:lang w:val="fr-FR"/>
        </w:rPr>
      </w:pPr>
      <w:r w:rsidRPr="00FF17EC">
        <w:rPr>
          <w:sz w:val="20"/>
          <w:lang w:val="fr-FR"/>
        </w:rPr>
        <w:t xml:space="preserve">Source: </w:t>
      </w:r>
      <w:r w:rsidRPr="00FF17EC">
        <w:rPr>
          <w:rFonts w:eastAsiaTheme="majorEastAsia" w:cs="Times New Roman"/>
          <w:sz w:val="20"/>
          <w:lang w:val="fr-FR"/>
        </w:rPr>
        <w:t>http://www.sepa.gov.rs/ams/xajax_data/eas_kvalitet_vazduha_1.php</w:t>
      </w:r>
    </w:p>
    <w:p w:rsidR="00E53F57" w:rsidRPr="00FF17EC" w:rsidRDefault="00E53F57" w:rsidP="00E53F57">
      <w:pPr>
        <w:rPr>
          <w:lang w:val="fr-FR"/>
        </w:rPr>
      </w:pPr>
    </w:p>
    <w:p w:rsidR="00E53F57" w:rsidRPr="00FF17EC" w:rsidRDefault="00E53F57" w:rsidP="00E53F57">
      <w:pPr>
        <w:pStyle w:val="Heading3"/>
        <w:spacing w:line="240" w:lineRule="auto"/>
        <w:rPr>
          <w:lang w:eastAsia="it-IT"/>
        </w:rPr>
      </w:pPr>
      <w:bookmarkStart w:id="102" w:name="_Toc380860772"/>
      <w:bookmarkStart w:id="103" w:name="_Toc383162919"/>
      <w:r w:rsidRPr="00FF17EC">
        <w:rPr>
          <w:lang w:eastAsia="it-IT"/>
        </w:rPr>
        <w:t>Industri</w:t>
      </w:r>
      <w:bookmarkEnd w:id="102"/>
      <w:r w:rsidRPr="00FF17EC">
        <w:rPr>
          <w:lang w:eastAsia="it-IT"/>
        </w:rPr>
        <w:t>es</w:t>
      </w:r>
      <w:bookmarkEnd w:id="103"/>
    </w:p>
    <w:p w:rsidR="00760352" w:rsidRPr="00FF17EC" w:rsidRDefault="00E53F57" w:rsidP="00E53F57">
      <w:pPr>
        <w:rPr>
          <w:lang w:eastAsia="it-IT"/>
        </w:rPr>
      </w:pPr>
      <w:r w:rsidRPr="00FF17EC">
        <w:rPr>
          <w:lang w:eastAsia="it-IT"/>
        </w:rPr>
        <w:t xml:space="preserve">In certain parts of the border area, extraction of fossil fuels, mines, and heavy industry significantly contribute to the pollution of the environment. </w:t>
      </w:r>
    </w:p>
    <w:p w:rsidR="00760352" w:rsidRPr="00FF17EC" w:rsidRDefault="00E53F57" w:rsidP="00E53F57">
      <w:pPr>
        <w:rPr>
          <w:lang w:eastAsia="it-IT"/>
        </w:rPr>
      </w:pPr>
      <w:r w:rsidRPr="00FF17EC">
        <w:rPr>
          <w:lang w:eastAsia="it-IT"/>
        </w:rPr>
        <w:t xml:space="preserve">The most polluting units are in the fields of mining, </w:t>
      </w:r>
      <w:r w:rsidR="008C403B" w:rsidRPr="00FF17EC">
        <w:rPr>
          <w:lang w:eastAsia="it-IT"/>
        </w:rPr>
        <w:t xml:space="preserve">mineral oils processing and handling, </w:t>
      </w:r>
      <w:r w:rsidRPr="00FF17EC">
        <w:rPr>
          <w:lang w:eastAsia="it-IT"/>
        </w:rPr>
        <w:t xml:space="preserve">chemical processing, animal breeding, agricultural products processing, machinery industry and metallurgy. </w:t>
      </w:r>
    </w:p>
    <w:p w:rsidR="00760352" w:rsidRPr="00FF17EC" w:rsidRDefault="00760352" w:rsidP="00E53F57">
      <w:pPr>
        <w:rPr>
          <w:lang w:eastAsia="it-IT"/>
        </w:rPr>
      </w:pPr>
      <w:r w:rsidRPr="00FF17EC">
        <w:rPr>
          <w:lang w:eastAsia="it-IT"/>
        </w:rPr>
        <w:t>T</w:t>
      </w:r>
      <w:r w:rsidR="00E53F57" w:rsidRPr="00FF17EC">
        <w:rPr>
          <w:lang w:eastAsia="it-IT"/>
        </w:rPr>
        <w:t xml:space="preserve">echnologies applied are </w:t>
      </w:r>
      <w:r w:rsidRPr="00FF17EC">
        <w:rPr>
          <w:lang w:eastAsia="it-IT"/>
        </w:rPr>
        <w:t>often</w:t>
      </w:r>
      <w:r w:rsidR="005A52D9" w:rsidRPr="00FF17EC">
        <w:rPr>
          <w:lang w:eastAsia="it-IT"/>
        </w:rPr>
        <w:t xml:space="preserve"> </w:t>
      </w:r>
      <w:r w:rsidR="00E53F57" w:rsidRPr="00FF17EC">
        <w:rPr>
          <w:lang w:eastAsia="it-IT"/>
        </w:rPr>
        <w:t xml:space="preserve">obsolete or poorly operated. The main form of pollution is through the ground water and the discharge in the water bodies, through canalisation and minor tributaries. </w:t>
      </w:r>
    </w:p>
    <w:p w:rsidR="00E53F57" w:rsidRPr="00FF17EC" w:rsidRDefault="00E53F57" w:rsidP="00E53F57">
      <w:pPr>
        <w:rPr>
          <w:lang w:eastAsia="it-IT"/>
        </w:rPr>
      </w:pPr>
      <w:r w:rsidRPr="00FF17EC">
        <w:rPr>
          <w:lang w:eastAsia="it-IT"/>
        </w:rPr>
        <w:t xml:space="preserve">Special forms of industrial waste are derelict production plants and brown fields which pose a significant threat to human health, flora and fauna without the possibility to reclaim the areas in the short term. </w:t>
      </w:r>
    </w:p>
    <w:p w:rsidR="00760352" w:rsidRPr="00FF17EC" w:rsidRDefault="00760352" w:rsidP="00E53F57">
      <w:pPr>
        <w:rPr>
          <w:lang w:eastAsia="it-IT"/>
        </w:rPr>
      </w:pPr>
    </w:p>
    <w:p w:rsidR="00E53F57" w:rsidRPr="00FF17EC" w:rsidRDefault="00E53F57" w:rsidP="00E53F57">
      <w:pPr>
        <w:pStyle w:val="Heading3"/>
        <w:spacing w:line="240" w:lineRule="auto"/>
        <w:rPr>
          <w:lang w:eastAsia="it-IT"/>
        </w:rPr>
      </w:pPr>
      <w:bookmarkStart w:id="104" w:name="_Toc380860773"/>
      <w:bookmarkStart w:id="105" w:name="_Toc383162920"/>
      <w:r w:rsidRPr="00FF17EC">
        <w:rPr>
          <w:lang w:eastAsia="it-IT"/>
        </w:rPr>
        <w:t>Flood</w:t>
      </w:r>
      <w:bookmarkEnd w:id="104"/>
      <w:bookmarkEnd w:id="105"/>
      <w:r w:rsidR="00760352" w:rsidRPr="00FF17EC">
        <w:rPr>
          <w:lang w:eastAsia="it-IT"/>
        </w:rPr>
        <w:t xml:space="preserve"> risks </w:t>
      </w:r>
    </w:p>
    <w:p w:rsidR="00E53F57" w:rsidRPr="00FF17EC" w:rsidRDefault="00E53F57" w:rsidP="00E53F57">
      <w:pPr>
        <w:rPr>
          <w:lang w:eastAsia="it-IT"/>
        </w:rPr>
      </w:pPr>
      <w:r w:rsidRPr="00FF17EC">
        <w:rPr>
          <w:lang w:eastAsia="it-IT"/>
        </w:rPr>
        <w:t xml:space="preserve">Floods are a constant threat to the area, accentuated by climate change but also by human interaction, e.g.: uncontrolled hydro morphological alterations through sediment extraction for the construction sector or fragmentation of adjacent wetlands and floodplains. </w:t>
      </w:r>
    </w:p>
    <w:p w:rsidR="00E53F57" w:rsidRPr="00FF17EC" w:rsidRDefault="00E53F57" w:rsidP="00E53F57">
      <w:pPr>
        <w:rPr>
          <w:lang w:eastAsia="it-IT"/>
        </w:rPr>
      </w:pPr>
      <w:r w:rsidRPr="00FF17EC">
        <w:rPr>
          <w:lang w:eastAsia="it-IT"/>
        </w:rPr>
        <w:t>Areas near the Danube will face fluvial floods, while others will encounter flash floods due to extreme weather. Overall civil protection mechanisms, administrative response capacity and interoperability have a lot of improvement potential.</w:t>
      </w:r>
    </w:p>
    <w:p w:rsidR="00E53F57" w:rsidRPr="00FF17EC" w:rsidRDefault="00E53F57" w:rsidP="00E53F57">
      <w:pPr>
        <w:rPr>
          <w:lang w:eastAsia="it-IT"/>
        </w:rPr>
      </w:pPr>
      <w:r w:rsidRPr="00FF17EC">
        <w:rPr>
          <w:lang w:eastAsia="it-IT"/>
        </w:rPr>
        <w:t>In 2010 for example, the most serious events in Serbia were encountered in the Timok River, and the rivers in Banat, exceeding emergency flood defences. In Romania major flood events have been registered on Timiș, Barzava and Moravita rivers</w:t>
      </w:r>
      <w:r w:rsidRPr="00FF17EC">
        <w:rPr>
          <w:rStyle w:val="FootnoteReference"/>
          <w:lang w:eastAsia="it-IT"/>
        </w:rPr>
        <w:footnoteReference w:id="47"/>
      </w:r>
      <w:r w:rsidRPr="00FF17EC">
        <w:rPr>
          <w:lang w:eastAsia="it-IT"/>
        </w:rPr>
        <w:t xml:space="preserve">. </w:t>
      </w:r>
    </w:p>
    <w:p w:rsidR="00E53F57" w:rsidRPr="00FF17EC" w:rsidRDefault="00747E4D" w:rsidP="00760352">
      <w:pPr>
        <w:keepNext/>
      </w:pPr>
      <w:r>
        <w:rPr>
          <w:noProof/>
          <w:lang w:eastAsia="en-GB"/>
        </w:rPr>
        <w:lastRenderedPageBreak/>
        <w:drawing>
          <wp:inline distT="0" distB="0" distL="0" distR="0">
            <wp:extent cx="5971540" cy="4226766"/>
            <wp:effectExtent l="19050" t="0" r="0" b="0"/>
            <wp:docPr id="23" name="Immagine 5" descr="C:\Users\biagio\Desktop\AAA Serbia Romania\AA revision after submission\mappe finali\ProgettoSerbiaRomania_floodevents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iagio\Desktop\AAA Serbia Romania\AA revision after submission\mappe finali\ProgettoSerbiaRomania_floodevents_new.jpg"/>
                    <pic:cNvPicPr>
                      <a:picLocks noChangeAspect="1" noChangeArrowheads="1"/>
                    </pic:cNvPicPr>
                  </pic:nvPicPr>
                  <pic:blipFill>
                    <a:blip r:embed="rId48"/>
                    <a:srcRect/>
                    <a:stretch>
                      <a:fillRect/>
                    </a:stretch>
                  </pic:blipFill>
                  <pic:spPr bwMode="auto">
                    <a:xfrm>
                      <a:off x="0" y="0"/>
                      <a:ext cx="5971540" cy="4226766"/>
                    </a:xfrm>
                    <a:prstGeom prst="rect">
                      <a:avLst/>
                    </a:prstGeom>
                    <a:noFill/>
                    <a:ln w="9525">
                      <a:noFill/>
                      <a:miter lim="800000"/>
                      <a:headEnd/>
                      <a:tailEnd/>
                    </a:ln>
                  </pic:spPr>
                </pic:pic>
              </a:graphicData>
            </a:graphic>
          </wp:inline>
        </w:drawing>
      </w:r>
    </w:p>
    <w:p w:rsidR="007E1D53" w:rsidRPr="00FF17EC" w:rsidRDefault="007E1D53" w:rsidP="007E1D53">
      <w:pPr>
        <w:pStyle w:val="Caption"/>
        <w:spacing w:after="0" w:line="240" w:lineRule="auto"/>
        <w:jc w:val="left"/>
        <w:rPr>
          <w:b w:val="0"/>
          <w:i/>
          <w:sz w:val="20"/>
          <w:szCs w:val="20"/>
        </w:rPr>
      </w:pPr>
      <w:r w:rsidRPr="00FF17EC">
        <w:rPr>
          <w:b w:val="0"/>
          <w:sz w:val="20"/>
          <w:szCs w:val="20"/>
          <w:lang w:eastAsia="it-IT"/>
        </w:rPr>
        <w:t>Source: ICPDR (2012), 2010 Floods in the Danube River Basin, Vienna and ICPDR (2012), Preliminary Flood Risk Assessment in the Danube River Basin, own illustration</w:t>
      </w:r>
      <w:r w:rsidRPr="00FF17EC">
        <w:rPr>
          <w:b w:val="0"/>
          <w:i/>
          <w:sz w:val="20"/>
          <w:szCs w:val="20"/>
        </w:rPr>
        <w:t xml:space="preserve"> </w:t>
      </w:r>
    </w:p>
    <w:p w:rsidR="005C4AE7" w:rsidRPr="00FF17EC" w:rsidRDefault="005C4AE7" w:rsidP="005C4AE7">
      <w:pPr>
        <w:pStyle w:val="Caption"/>
        <w:keepNext w:val="0"/>
        <w:spacing w:after="0" w:line="240" w:lineRule="auto"/>
        <w:jc w:val="left"/>
        <w:rPr>
          <w:sz w:val="22"/>
          <w:szCs w:val="20"/>
        </w:rPr>
      </w:pPr>
      <w:r w:rsidRPr="00FF17EC">
        <w:rPr>
          <w:sz w:val="22"/>
          <w:szCs w:val="20"/>
        </w:rPr>
        <w:t>Map 8</w:t>
      </w:r>
      <w:r w:rsidRPr="00FF17EC">
        <w:rPr>
          <w:sz w:val="22"/>
          <w:szCs w:val="20"/>
        </w:rPr>
        <w:noBreakHyphen/>
      </w:r>
      <w:r w:rsidR="00085686" w:rsidRPr="00FF17EC">
        <w:rPr>
          <w:sz w:val="22"/>
          <w:szCs w:val="20"/>
        </w:rPr>
        <w:fldChar w:fldCharType="begin"/>
      </w:r>
      <w:r w:rsidRPr="00FF17EC">
        <w:rPr>
          <w:sz w:val="22"/>
          <w:szCs w:val="20"/>
        </w:rPr>
        <w:instrText xml:space="preserve"> SEQ Map \* ARABIC \s 1 </w:instrText>
      </w:r>
      <w:r w:rsidR="00085686" w:rsidRPr="00FF17EC">
        <w:rPr>
          <w:sz w:val="22"/>
          <w:szCs w:val="20"/>
        </w:rPr>
        <w:fldChar w:fldCharType="separate"/>
      </w:r>
      <w:r w:rsidR="00747E4D">
        <w:rPr>
          <w:noProof/>
          <w:sz w:val="22"/>
          <w:szCs w:val="20"/>
        </w:rPr>
        <w:t>5</w:t>
      </w:r>
      <w:r w:rsidR="00085686" w:rsidRPr="00FF17EC">
        <w:rPr>
          <w:sz w:val="22"/>
          <w:szCs w:val="20"/>
        </w:rPr>
        <w:fldChar w:fldCharType="end"/>
      </w:r>
      <w:r w:rsidRPr="00FF17EC">
        <w:rPr>
          <w:sz w:val="22"/>
          <w:szCs w:val="20"/>
        </w:rPr>
        <w:t xml:space="preserve"> d events in the Danube River Basin (2010) and area</w:t>
      </w:r>
      <w:r w:rsidR="005A52D9" w:rsidRPr="00FF17EC">
        <w:rPr>
          <w:sz w:val="22"/>
          <w:szCs w:val="20"/>
        </w:rPr>
        <w:t xml:space="preserve"> </w:t>
      </w:r>
      <w:r w:rsidRPr="00FF17EC">
        <w:rPr>
          <w:sz w:val="22"/>
          <w:szCs w:val="20"/>
        </w:rPr>
        <w:t>of potential significant flood risk</w:t>
      </w:r>
    </w:p>
    <w:p w:rsidR="00E53F57" w:rsidRPr="00FF17EC" w:rsidRDefault="00E53F57" w:rsidP="00E53F57">
      <w:pPr>
        <w:spacing w:after="0" w:line="240" w:lineRule="auto"/>
        <w:jc w:val="left"/>
        <w:rPr>
          <w:sz w:val="20"/>
          <w:szCs w:val="20"/>
          <w:lang w:eastAsia="it-IT"/>
        </w:rPr>
      </w:pPr>
    </w:p>
    <w:p w:rsidR="00E53F57" w:rsidRPr="00FF17EC" w:rsidRDefault="00E53F57" w:rsidP="00E53F57">
      <w:pPr>
        <w:rPr>
          <w:lang w:eastAsia="it-IT"/>
        </w:rPr>
      </w:pPr>
      <w:r w:rsidRPr="00FF17EC">
        <w:rPr>
          <w:lang w:eastAsia="it-IT"/>
        </w:rPr>
        <w:t xml:space="preserve">Apart from the major basins affected by fluvial floods, others will encounter flash floods due to extreme weather events and ground saturation. </w:t>
      </w:r>
    </w:p>
    <w:p w:rsidR="00760352" w:rsidRPr="00FF17EC" w:rsidRDefault="00E53F57" w:rsidP="00E53F57">
      <w:pPr>
        <w:rPr>
          <w:lang w:eastAsia="it-IT"/>
        </w:rPr>
      </w:pPr>
      <w:r w:rsidRPr="00FF17EC">
        <w:rPr>
          <w:lang w:eastAsia="it-IT"/>
        </w:rPr>
        <w:t>Overall EU wide initiatives, such as the European Flood Awareness System</w:t>
      </w:r>
      <w:r w:rsidRPr="00FF17EC">
        <w:rPr>
          <w:rStyle w:val="FootnoteReference"/>
          <w:lang w:eastAsia="it-IT"/>
        </w:rPr>
        <w:footnoteReference w:id="48"/>
      </w:r>
      <w:r w:rsidRPr="00FF17EC">
        <w:rPr>
          <w:lang w:eastAsia="it-IT"/>
        </w:rPr>
        <w:t xml:space="preserve"> (EFAS) and the Danube Flood have improved the situation at the macro-level. </w:t>
      </w:r>
    </w:p>
    <w:p w:rsidR="00E53F57" w:rsidRPr="00FF17EC" w:rsidRDefault="00E53F57" w:rsidP="00E53F57">
      <w:pPr>
        <w:rPr>
          <w:lang w:eastAsia="it-IT"/>
        </w:rPr>
      </w:pPr>
      <w:r w:rsidRPr="00FF17EC">
        <w:rPr>
          <w:lang w:eastAsia="it-IT"/>
        </w:rPr>
        <w:t>However the prediction and disaster protection mechanisms, administrative response capacity and interoperability at the local level still need improvement.</w:t>
      </w:r>
    </w:p>
    <w:p w:rsidR="004B54BA" w:rsidRPr="00FF17EC" w:rsidRDefault="004B54BA" w:rsidP="00A62261">
      <w:pPr>
        <w:pStyle w:val="Heading1"/>
      </w:pPr>
      <w:bookmarkStart w:id="106" w:name="_Toc378857149"/>
      <w:bookmarkStart w:id="107" w:name="_Toc383354419"/>
      <w:bookmarkStart w:id="108" w:name="_Toc383415723"/>
      <w:r w:rsidRPr="00FF17EC">
        <w:lastRenderedPageBreak/>
        <w:t>Tourism</w:t>
      </w:r>
      <w:bookmarkEnd w:id="106"/>
      <w:bookmarkEnd w:id="107"/>
      <w:bookmarkEnd w:id="108"/>
    </w:p>
    <w:tbl>
      <w:tblPr>
        <w:tblStyle w:val="TableGrid"/>
        <w:tblW w:w="0" w:type="auto"/>
        <w:tblLook w:val="04A0" w:firstRow="1" w:lastRow="0" w:firstColumn="1" w:lastColumn="0" w:noHBand="0" w:noVBand="1"/>
      </w:tblPr>
      <w:tblGrid>
        <w:gridCol w:w="9394"/>
      </w:tblGrid>
      <w:tr w:rsidR="004B54BA" w:rsidRPr="00FF17EC" w:rsidTr="004B54BA">
        <w:tc>
          <w:tcPr>
            <w:tcW w:w="9544" w:type="dxa"/>
          </w:tcPr>
          <w:p w:rsidR="004B54BA" w:rsidRPr="00FF17EC" w:rsidRDefault="004B54BA" w:rsidP="00013F0C">
            <w:pPr>
              <w:pStyle w:val="ListParagraph"/>
              <w:numPr>
                <w:ilvl w:val="0"/>
                <w:numId w:val="36"/>
              </w:numPr>
              <w:ind w:left="540"/>
              <w:rPr>
                <w:noProof/>
                <w:lang w:eastAsia="it-IT"/>
              </w:rPr>
            </w:pPr>
            <w:r w:rsidRPr="00FF17EC">
              <w:rPr>
                <w:noProof/>
                <w:lang w:eastAsia="it-IT"/>
              </w:rPr>
              <w:t>Relevant potential for various types of tourism on both sides of the border, based on natural and historical resources, and on business and cultural activities that attract tourism demand.</w:t>
            </w:r>
          </w:p>
          <w:p w:rsidR="004B54BA" w:rsidRPr="00FF17EC" w:rsidRDefault="004B54BA" w:rsidP="00013F0C">
            <w:pPr>
              <w:pStyle w:val="ListParagraph"/>
              <w:numPr>
                <w:ilvl w:val="0"/>
                <w:numId w:val="36"/>
              </w:numPr>
              <w:ind w:left="540"/>
              <w:rPr>
                <w:noProof/>
                <w:lang w:eastAsia="it-IT"/>
              </w:rPr>
            </w:pPr>
            <w:r w:rsidRPr="00FF17EC">
              <w:rPr>
                <w:noProof/>
                <w:lang w:eastAsia="it-IT"/>
              </w:rPr>
              <w:t>Ecotourism in the protected areas, cultural tourism attracted by historical heritage, business tourism generated by growing international integration of industrial clusters and business poles, present the highest potential.</w:t>
            </w:r>
          </w:p>
          <w:p w:rsidR="004B54BA" w:rsidRPr="00FF17EC" w:rsidRDefault="004B54BA" w:rsidP="00013F0C">
            <w:pPr>
              <w:pStyle w:val="ListParagraph"/>
              <w:numPr>
                <w:ilvl w:val="0"/>
                <w:numId w:val="36"/>
              </w:numPr>
              <w:ind w:left="540"/>
              <w:rPr>
                <w:noProof/>
                <w:lang w:eastAsia="it-IT"/>
              </w:rPr>
            </w:pPr>
            <w:r w:rsidRPr="00FF17EC">
              <w:rPr>
                <w:noProof/>
                <w:lang w:eastAsia="it-IT"/>
              </w:rPr>
              <w:t>Resources are sparse on the territory, producing a potential for integrated tourism networks, more than for spot tourism attractions. All tourism attractors present a potential for integration in cross border networks.</w:t>
            </w:r>
            <w:r w:rsidR="00634723" w:rsidRPr="00FF17EC">
              <w:rPr>
                <w:noProof/>
                <w:lang w:eastAsia="it-IT"/>
              </w:rPr>
              <w:t xml:space="preserve"> </w:t>
            </w:r>
          </w:p>
          <w:p w:rsidR="004B54BA" w:rsidRPr="00FF17EC" w:rsidRDefault="004B54BA" w:rsidP="00013F0C">
            <w:pPr>
              <w:pStyle w:val="ListParagraph"/>
              <w:numPr>
                <w:ilvl w:val="0"/>
                <w:numId w:val="36"/>
              </w:numPr>
              <w:ind w:left="540"/>
              <w:rPr>
                <w:noProof/>
                <w:lang w:eastAsia="it-IT"/>
              </w:rPr>
            </w:pPr>
            <w:r w:rsidRPr="00FF17EC">
              <w:rPr>
                <w:noProof/>
                <w:lang w:eastAsia="it-IT"/>
              </w:rPr>
              <w:t>Accomodation infrastructure is underexploited, signalling the need for soft investments in coordinated actions for increasing attractiveness and national and international demand.</w:t>
            </w:r>
          </w:p>
          <w:p w:rsidR="004B54BA" w:rsidRPr="00FF17EC" w:rsidRDefault="004B54BA" w:rsidP="00013F0C">
            <w:pPr>
              <w:pStyle w:val="ListParagraph"/>
              <w:numPr>
                <w:ilvl w:val="0"/>
                <w:numId w:val="36"/>
              </w:numPr>
              <w:ind w:left="540"/>
              <w:rPr>
                <w:noProof/>
                <w:lang w:eastAsia="it-IT"/>
              </w:rPr>
            </w:pPr>
            <w:r w:rsidRPr="00FF17EC">
              <w:rPr>
                <w:noProof/>
                <w:lang w:eastAsia="it-IT"/>
              </w:rPr>
              <w:t xml:space="preserve">International connections are adequate for tourism travels to the area, but the quality of local transport infrastructures and services is poor, constraining the development of coordinated offers and cross border initiatives. </w:t>
            </w:r>
          </w:p>
        </w:tc>
      </w:tr>
    </w:tbl>
    <w:p w:rsidR="004B54BA" w:rsidRPr="00FF17EC" w:rsidRDefault="004B54BA" w:rsidP="004B54BA">
      <w:pPr>
        <w:rPr>
          <w:noProof/>
          <w:lang w:eastAsia="it-IT"/>
        </w:rPr>
      </w:pPr>
    </w:p>
    <w:p w:rsidR="004B54BA" w:rsidRPr="00FF17EC" w:rsidRDefault="004B54BA" w:rsidP="004B54BA">
      <w:r w:rsidRPr="00FF17EC">
        <w:t xml:space="preserve">The PA presents a relevant potential for the development of various types of tourism. Most of the tourism potential is shared on the two sides of the borders, and it’s development could benefit from a stronger cross border cooperation. </w:t>
      </w:r>
    </w:p>
    <w:p w:rsidR="004B54BA" w:rsidRPr="00FF17EC" w:rsidRDefault="004B54BA" w:rsidP="004B54BA">
      <w:r w:rsidRPr="00FF17EC">
        <w:t xml:space="preserve">Eco tourism and cultural tourism can be attracted by a rich patrimony of natural resources, historical heritage, cultural resources, on both sides of the border, that was presented in the previous chapters. The main potential is represented by the natural parks along the river Danube, the natural areas on the mountains, and the historical sites. </w:t>
      </w:r>
    </w:p>
    <w:p w:rsidR="004B54BA" w:rsidRPr="00FF17EC" w:rsidRDefault="004B54BA" w:rsidP="004B54BA">
      <w:r w:rsidRPr="00FF17EC">
        <w:t xml:space="preserve">The development of business activities, and the intensive flow of FDI, has created a significant potential for business tourism. These types of tourism generate demands for accommodation and services in the main business centres in the eligible area, and in the historical and natural areas, for events like company conventions, or congresses. At present these flows are </w:t>
      </w:r>
      <w:r w:rsidRPr="00FF17EC">
        <w:lastRenderedPageBreak/>
        <w:t>concentrated in the Timisoara area, but in some measure also in other centres of the eligible area, like in Borski district, and Mehedinti.</w:t>
      </w:r>
    </w:p>
    <w:p w:rsidR="004B54BA" w:rsidRPr="00FF17EC" w:rsidRDefault="004B54BA" w:rsidP="004B54BA">
      <w:r w:rsidRPr="00FF17EC">
        <w:t xml:space="preserve">Leisure, and ethno-gastronomic tourism can be attracted by the cultural events, festivals, fairs that are present in the area, one example being the Danube Wine Route in Južni Banat, and the wine production centres in Timisoara </w:t>
      </w:r>
      <w:r w:rsidR="00A73A7D" w:rsidRPr="00FF17EC">
        <w:rPr>
          <w:color w:val="000000"/>
          <w:w w:val="102"/>
        </w:rPr>
        <w:t>county</w:t>
      </w:r>
      <w:r w:rsidR="00A73A7D" w:rsidRPr="00FF17EC">
        <w:t xml:space="preserve"> </w:t>
      </w:r>
      <w:r w:rsidR="00A73A7D" w:rsidRPr="00FF17EC">
        <w:rPr>
          <w:color w:val="000000"/>
          <w:w w:val="102"/>
        </w:rPr>
        <w:t>as well as, wine production areas at the side of the eligible area at the Republic of Serbia.</w:t>
      </w:r>
      <w:r w:rsidRPr="00FF17EC">
        <w:t xml:space="preserve"> Many of these attractions include a cross border dimension. Rural and Agri-tourism could be developed especially in agricultural territories in the proximity of the national parks and protected areas.</w:t>
      </w:r>
    </w:p>
    <w:p w:rsidR="004B54BA" w:rsidRPr="00FF17EC" w:rsidRDefault="004B54BA" w:rsidP="004B54BA">
      <w:r w:rsidRPr="00FF17EC">
        <w:t xml:space="preserve">Health and thermal tourism can be attracted by the thermal centres. The whole programme area is very rich in high quality therapeutic thermal water having important springs of mineral and thermal waters contributing to the development of spa resorts. In Serbia, among the most popular spa resorts are in Banja Kanjiža, Brestovačka Banja, and Banja Rusanda, and in Romania, there is the Băile Herculane, an old city known since the Roman Empire, and in Bala, Balta and Negoiesti Dubova, Simian, Obarsia Closani, Ieselnita, Bala municipalities. </w:t>
      </w:r>
    </w:p>
    <w:p w:rsidR="004B54BA" w:rsidRPr="00FF17EC" w:rsidRDefault="004B54BA" w:rsidP="004B54BA">
      <w:r w:rsidRPr="00FF17EC">
        <w:t>Resources for sports and hunting tourism can be mentioned along the Danube, and especially on the Carpathian mountains. Other potentials can be identified in</w:t>
      </w:r>
      <w:r w:rsidR="00634723" w:rsidRPr="00FF17EC">
        <w:t xml:space="preserve"> </w:t>
      </w:r>
      <w:r w:rsidRPr="00FF17EC">
        <w:t xml:space="preserve">mountain biking cycling along the Danube, </w:t>
      </w:r>
      <w:r w:rsidR="00F84DAF" w:rsidRPr="00FF17EC">
        <w:t>water sports (</w:t>
      </w:r>
      <w:r w:rsidRPr="00FF17EC">
        <w:t>the example of cave diving in caves Isverna and Topolniţa, in the Orsova or Drobeta Turnu Severin)</w:t>
      </w:r>
    </w:p>
    <w:p w:rsidR="004B54BA" w:rsidRPr="00FF17EC" w:rsidRDefault="004B54BA" w:rsidP="004B54BA">
      <w:r w:rsidRPr="00FF17EC">
        <w:t>Next to the potential, some weaknesses and structural constraints should be mentioned. The natural and historical patrimony is extended over a large territory, and there are few points that can exhibit a special and unique character at international level, able to attract international visitors. The same beautiful sites on the segment of the Danube that crosses the eligible area should compete with other tourism attractions on the same river, with a stronger consolidated image on the international tourism markets.</w:t>
      </w:r>
    </w:p>
    <w:p w:rsidR="004B54BA" w:rsidRPr="00FF17EC" w:rsidRDefault="004B54BA" w:rsidP="004B54BA">
      <w:r w:rsidRPr="00FF17EC">
        <w:t xml:space="preserve">The transport infrastructure allows a good connection with international and national networks, but the local, internal network is still poor, and the public transport is not developed to the quality standards of tourism service, making difficult the creation of an offer for integrated tours that represent a large share of the tourist market. </w:t>
      </w:r>
    </w:p>
    <w:p w:rsidR="004B54BA" w:rsidRPr="00FF17EC" w:rsidRDefault="004B54BA" w:rsidP="004B54BA">
      <w:r w:rsidRPr="00FF17EC">
        <w:lastRenderedPageBreak/>
        <w:t>Secondary infrastructures and services, like info points, Hiking trails, road signs, guidance services, are still underdeveloped, also in the attractive natural areas.</w:t>
      </w:r>
    </w:p>
    <w:p w:rsidR="004B54BA" w:rsidRPr="00FF17EC" w:rsidRDefault="004B54BA" w:rsidP="004B54BA">
      <w:r w:rsidRPr="00FF17EC">
        <w:t>The basic infrastructure, mainly in form of hotels and other accommodation facilities, is available, but it is still underdeveloped. Hospitality infrastructures are strongly concentrated in the Romanian side, in particular in Timis county and Mehedinti. The Serbian districts have a lower but equally spread, asset of tourist facilities.</w:t>
      </w:r>
    </w:p>
    <w:p w:rsidR="004B54BA" w:rsidRPr="00FF17EC" w:rsidRDefault="004B54BA" w:rsidP="004B54BA">
      <w:r w:rsidRPr="00FF17EC">
        <w:t>In the last decade a growth of accommodation facilities has been observed, that has led the number of beds in tourism facilities close to 22 thousands in total of which less than 6 thousands located in the Serbian provinces</w:t>
      </w:r>
      <w:r w:rsidRPr="00FF17EC">
        <w:rPr>
          <w:vertAlign w:val="superscript"/>
        </w:rPr>
        <w:footnoteReference w:id="49"/>
      </w:r>
      <w:r w:rsidRPr="00FF17EC">
        <w:t>.</w:t>
      </w:r>
    </w:p>
    <w:tbl>
      <w:tblPr>
        <w:tblW w:w="6757" w:type="dxa"/>
        <w:jc w:val="center"/>
        <w:tblCellMar>
          <w:left w:w="70" w:type="dxa"/>
          <w:right w:w="70" w:type="dxa"/>
        </w:tblCellMar>
        <w:tblLook w:val="04A0" w:firstRow="1" w:lastRow="0" w:firstColumn="1" w:lastColumn="0" w:noHBand="0" w:noVBand="1"/>
      </w:tblPr>
      <w:tblGrid>
        <w:gridCol w:w="1993"/>
        <w:gridCol w:w="794"/>
        <w:gridCol w:w="794"/>
        <w:gridCol w:w="794"/>
        <w:gridCol w:w="794"/>
        <w:gridCol w:w="794"/>
        <w:gridCol w:w="794"/>
      </w:tblGrid>
      <w:tr w:rsidR="004B54BA" w:rsidRPr="00FF17EC" w:rsidTr="004B54BA">
        <w:trPr>
          <w:trHeight w:val="283"/>
          <w:jc w:val="center"/>
        </w:trPr>
        <w:tc>
          <w:tcPr>
            <w:tcW w:w="6757" w:type="dxa"/>
            <w:gridSpan w:val="7"/>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left"/>
              <w:rPr>
                <w:rFonts w:cs="Times New Roman"/>
                <w:b/>
                <w:bCs/>
                <w:i/>
                <w:iCs/>
                <w:lang w:val="en-US" w:eastAsia="it-IT"/>
              </w:rPr>
            </w:pPr>
            <w:r w:rsidRPr="00FF17EC">
              <w:rPr>
                <w:rFonts w:cs="Times New Roman"/>
                <w:b/>
                <w:bCs/>
                <w:lang w:val="en-US" w:eastAsia="it-IT"/>
              </w:rPr>
              <w:t xml:space="preserve">Number of tourism facilities </w:t>
            </w:r>
          </w:p>
        </w:tc>
      </w:tr>
      <w:tr w:rsidR="004B54BA" w:rsidRPr="00FF17EC" w:rsidTr="004B54BA">
        <w:trPr>
          <w:trHeight w:val="283"/>
          <w:jc w:val="center"/>
        </w:trPr>
        <w:tc>
          <w:tcPr>
            <w:tcW w:w="1993"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b/>
                <w:bCs/>
                <w:lang w:val="it-IT" w:eastAsia="it-IT"/>
              </w:rPr>
            </w:pPr>
            <w:r w:rsidRPr="00FF17EC">
              <w:rPr>
                <w:rFonts w:cs="Times New Roman"/>
                <w:b/>
                <w:bCs/>
                <w:lang w:val="en-US" w:eastAsia="it-IT"/>
              </w:rPr>
              <w:t xml:space="preserve"> </w:t>
            </w:r>
            <w:r w:rsidRPr="00FF17EC">
              <w:rPr>
                <w:rFonts w:cs="Times New Roman"/>
                <w:b/>
                <w:bCs/>
                <w:lang w:val="it-IT" w:eastAsia="it-IT"/>
              </w:rPr>
              <w:t xml:space="preserve">Year: </w:t>
            </w:r>
          </w:p>
        </w:tc>
        <w:tc>
          <w:tcPr>
            <w:tcW w:w="794"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b/>
                <w:bCs/>
                <w:lang w:val="it-IT" w:eastAsia="it-IT"/>
              </w:rPr>
            </w:pPr>
            <w:r w:rsidRPr="00FF17EC">
              <w:rPr>
                <w:rFonts w:cs="Times New Roman"/>
                <w:b/>
                <w:bCs/>
                <w:lang w:val="it-IT" w:eastAsia="it-IT"/>
              </w:rPr>
              <w:t xml:space="preserve">2007 </w:t>
            </w:r>
          </w:p>
        </w:tc>
        <w:tc>
          <w:tcPr>
            <w:tcW w:w="794"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b/>
                <w:bCs/>
                <w:lang w:val="it-IT" w:eastAsia="it-IT"/>
              </w:rPr>
            </w:pPr>
            <w:r w:rsidRPr="00FF17EC">
              <w:rPr>
                <w:rFonts w:cs="Times New Roman"/>
                <w:b/>
                <w:bCs/>
                <w:lang w:val="it-IT" w:eastAsia="it-IT"/>
              </w:rPr>
              <w:t xml:space="preserve">2008 </w:t>
            </w:r>
          </w:p>
        </w:tc>
        <w:tc>
          <w:tcPr>
            <w:tcW w:w="794"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b/>
                <w:bCs/>
                <w:lang w:val="it-IT" w:eastAsia="it-IT"/>
              </w:rPr>
            </w:pPr>
            <w:r w:rsidRPr="00FF17EC">
              <w:rPr>
                <w:rFonts w:cs="Times New Roman"/>
                <w:b/>
                <w:bCs/>
                <w:lang w:val="it-IT" w:eastAsia="it-IT"/>
              </w:rPr>
              <w:t xml:space="preserve">2009 </w:t>
            </w:r>
          </w:p>
        </w:tc>
        <w:tc>
          <w:tcPr>
            <w:tcW w:w="794"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b/>
                <w:bCs/>
                <w:lang w:val="it-IT" w:eastAsia="it-IT"/>
              </w:rPr>
            </w:pPr>
            <w:r w:rsidRPr="00FF17EC">
              <w:rPr>
                <w:rFonts w:cs="Times New Roman"/>
                <w:b/>
                <w:bCs/>
                <w:lang w:val="it-IT" w:eastAsia="it-IT"/>
              </w:rPr>
              <w:t xml:space="preserve">2010 </w:t>
            </w:r>
          </w:p>
        </w:tc>
        <w:tc>
          <w:tcPr>
            <w:tcW w:w="794"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b/>
                <w:bCs/>
                <w:lang w:val="it-IT" w:eastAsia="it-IT"/>
              </w:rPr>
            </w:pPr>
            <w:r w:rsidRPr="00FF17EC">
              <w:rPr>
                <w:rFonts w:cs="Times New Roman"/>
                <w:b/>
                <w:bCs/>
                <w:lang w:val="it-IT" w:eastAsia="it-IT"/>
              </w:rPr>
              <w:t xml:space="preserve">2011 </w:t>
            </w:r>
          </w:p>
        </w:tc>
        <w:tc>
          <w:tcPr>
            <w:tcW w:w="794"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b/>
                <w:bCs/>
                <w:lang w:val="it-IT" w:eastAsia="it-IT"/>
              </w:rPr>
            </w:pPr>
            <w:r w:rsidRPr="00FF17EC">
              <w:rPr>
                <w:rFonts w:cs="Times New Roman"/>
                <w:b/>
                <w:bCs/>
                <w:lang w:val="it-IT" w:eastAsia="it-IT"/>
              </w:rPr>
              <w:t xml:space="preserve">2012 </w:t>
            </w:r>
          </w:p>
        </w:tc>
      </w:tr>
      <w:tr w:rsidR="004B54BA" w:rsidRPr="00FF17EC" w:rsidTr="004B54BA">
        <w:trPr>
          <w:trHeight w:val="283"/>
          <w:jc w:val="center"/>
        </w:trPr>
        <w:tc>
          <w:tcPr>
            <w:tcW w:w="1993"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Timiş</w:t>
            </w:r>
          </w:p>
        </w:tc>
        <w:tc>
          <w:tcPr>
            <w:tcW w:w="794"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102</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148</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115</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122</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131</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w:t>
            </w:r>
          </w:p>
        </w:tc>
      </w:tr>
      <w:tr w:rsidR="004B54BA" w:rsidRPr="00FF17EC" w:rsidTr="004B54BA">
        <w:trPr>
          <w:trHeight w:val="283"/>
          <w:jc w:val="center"/>
        </w:trPr>
        <w:tc>
          <w:tcPr>
            <w:tcW w:w="1993"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Caraş-Severin</w:t>
            </w:r>
          </w:p>
        </w:tc>
        <w:tc>
          <w:tcPr>
            <w:tcW w:w="794"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118</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118</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144</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143</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149</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181</w:t>
            </w:r>
          </w:p>
        </w:tc>
      </w:tr>
      <w:tr w:rsidR="004B54BA" w:rsidRPr="00FF17EC" w:rsidTr="004B54BA">
        <w:trPr>
          <w:trHeight w:val="283"/>
          <w:jc w:val="center"/>
        </w:trPr>
        <w:tc>
          <w:tcPr>
            <w:tcW w:w="1993"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Mehedinţi</w:t>
            </w:r>
          </w:p>
        </w:tc>
        <w:tc>
          <w:tcPr>
            <w:tcW w:w="794"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19</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19</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30</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27</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35</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42</w:t>
            </w:r>
          </w:p>
        </w:tc>
      </w:tr>
      <w:tr w:rsidR="004B54BA" w:rsidRPr="00FF17EC" w:rsidTr="004B54BA">
        <w:trPr>
          <w:trHeight w:val="283"/>
          <w:jc w:val="center"/>
        </w:trPr>
        <w:tc>
          <w:tcPr>
            <w:tcW w:w="1993"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b/>
                <w:lang w:val="it-IT" w:eastAsia="it-IT"/>
              </w:rPr>
            </w:pPr>
            <w:r w:rsidRPr="00FF17EC">
              <w:rPr>
                <w:rFonts w:cs="Times New Roman"/>
                <w:b/>
                <w:lang w:val="it-IT" w:eastAsia="it-IT"/>
              </w:rPr>
              <w:t>ROMANIA</w:t>
            </w:r>
          </w:p>
        </w:tc>
        <w:tc>
          <w:tcPr>
            <w:tcW w:w="794"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b/>
                <w:lang w:val="it-IT" w:eastAsia="it-IT"/>
              </w:rPr>
            </w:pPr>
            <w:r w:rsidRPr="00FF17EC">
              <w:rPr>
                <w:rFonts w:cs="Times New Roman"/>
                <w:b/>
                <w:lang w:val="it-IT" w:eastAsia="it-IT"/>
              </w:rPr>
              <w:t>4694</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b/>
                <w:lang w:val="it-IT" w:eastAsia="it-IT"/>
              </w:rPr>
            </w:pPr>
            <w:r w:rsidRPr="00FF17EC">
              <w:rPr>
                <w:rFonts w:cs="Times New Roman"/>
                <w:b/>
                <w:lang w:val="it-IT" w:eastAsia="it-IT"/>
              </w:rPr>
              <w:t>4884</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b/>
                <w:lang w:val="it-IT" w:eastAsia="it-IT"/>
              </w:rPr>
            </w:pPr>
            <w:r w:rsidRPr="00FF17EC">
              <w:rPr>
                <w:rFonts w:cs="Times New Roman"/>
                <w:b/>
                <w:lang w:val="it-IT" w:eastAsia="it-IT"/>
              </w:rPr>
              <w:t>5079</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b/>
                <w:lang w:val="it-IT" w:eastAsia="it-IT"/>
              </w:rPr>
            </w:pPr>
            <w:r w:rsidRPr="00FF17EC">
              <w:rPr>
                <w:rFonts w:cs="Times New Roman"/>
                <w:b/>
                <w:lang w:val="it-IT" w:eastAsia="it-IT"/>
              </w:rPr>
              <w:t>5222</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b/>
                <w:lang w:val="it-IT" w:eastAsia="it-IT"/>
              </w:rPr>
            </w:pPr>
            <w:r w:rsidRPr="00FF17EC">
              <w:rPr>
                <w:rFonts w:cs="Times New Roman"/>
                <w:b/>
                <w:lang w:val="it-IT" w:eastAsia="it-IT"/>
              </w:rPr>
              <w:t>5003</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b/>
                <w:lang w:val="it-IT" w:eastAsia="it-IT"/>
              </w:rPr>
            </w:pPr>
          </w:p>
        </w:tc>
      </w:tr>
      <w:tr w:rsidR="004B54BA" w:rsidRPr="00FF17EC" w:rsidTr="004B54BA">
        <w:trPr>
          <w:trHeight w:val="283"/>
          <w:jc w:val="center"/>
        </w:trPr>
        <w:tc>
          <w:tcPr>
            <w:tcW w:w="1993"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Severno-Banatski</w:t>
            </w:r>
          </w:p>
        </w:tc>
        <w:tc>
          <w:tcPr>
            <w:tcW w:w="794"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19</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19</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19</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19</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18</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w:t>
            </w:r>
          </w:p>
        </w:tc>
      </w:tr>
      <w:tr w:rsidR="004B54BA" w:rsidRPr="00FF17EC" w:rsidTr="004B54BA">
        <w:trPr>
          <w:trHeight w:val="283"/>
          <w:jc w:val="center"/>
        </w:trPr>
        <w:tc>
          <w:tcPr>
            <w:tcW w:w="1993"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Srednje-Banatski</w:t>
            </w:r>
          </w:p>
        </w:tc>
        <w:tc>
          <w:tcPr>
            <w:tcW w:w="794"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w:t>
            </w:r>
          </w:p>
        </w:tc>
      </w:tr>
      <w:tr w:rsidR="004B54BA" w:rsidRPr="00FF17EC" w:rsidTr="004B54BA">
        <w:trPr>
          <w:trHeight w:val="283"/>
          <w:jc w:val="center"/>
        </w:trPr>
        <w:tc>
          <w:tcPr>
            <w:tcW w:w="1993"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Južno-Banatski</w:t>
            </w:r>
          </w:p>
        </w:tc>
        <w:tc>
          <w:tcPr>
            <w:tcW w:w="794" w:type="dxa"/>
            <w:tcBorders>
              <w:top w:val="nil"/>
              <w:left w:val="nil"/>
              <w:bottom w:val="nil"/>
              <w:right w:val="nil"/>
            </w:tcBorders>
            <w:shd w:val="clear" w:color="auto" w:fill="auto"/>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23</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23</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25</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25</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28</w:t>
            </w:r>
          </w:p>
        </w:tc>
        <w:tc>
          <w:tcPr>
            <w:tcW w:w="794" w:type="dxa"/>
            <w:tcBorders>
              <w:top w:val="nil"/>
              <w:left w:val="nil"/>
              <w:bottom w:val="nil"/>
              <w:right w:val="nil"/>
            </w:tcBorders>
            <w:shd w:val="clear" w:color="auto" w:fill="auto"/>
            <w:noWrap/>
            <w:vAlign w:val="bottom"/>
            <w:hideMark/>
          </w:tcPr>
          <w:p w:rsidR="004B54BA" w:rsidRPr="00FF17EC" w:rsidRDefault="004B54BA" w:rsidP="004B54BA">
            <w:pPr>
              <w:keepNext/>
              <w:keepLines/>
              <w:spacing w:after="0" w:line="240" w:lineRule="auto"/>
              <w:jc w:val="right"/>
              <w:rPr>
                <w:rFonts w:cs="Times New Roman"/>
                <w:lang w:val="it-IT" w:eastAsia="it-IT"/>
              </w:rPr>
            </w:pPr>
            <w:r w:rsidRPr="00FF17EC">
              <w:rPr>
                <w:rFonts w:cs="Times New Roman"/>
                <w:lang w:val="it-IT" w:eastAsia="it-IT"/>
              </w:rPr>
              <w:t>-</w:t>
            </w:r>
          </w:p>
        </w:tc>
      </w:tr>
      <w:tr w:rsidR="00064DA7" w:rsidRPr="00FF17EC" w:rsidTr="004B54BA">
        <w:trPr>
          <w:trHeight w:val="283"/>
          <w:jc w:val="center"/>
        </w:trPr>
        <w:tc>
          <w:tcPr>
            <w:tcW w:w="1993" w:type="dxa"/>
            <w:tcBorders>
              <w:top w:val="nil"/>
              <w:left w:val="nil"/>
              <w:bottom w:val="nil"/>
              <w:right w:val="nil"/>
            </w:tcBorders>
            <w:shd w:val="clear" w:color="auto" w:fill="auto"/>
            <w:vAlign w:val="bottom"/>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Podunavski</w:t>
            </w:r>
          </w:p>
        </w:tc>
        <w:tc>
          <w:tcPr>
            <w:tcW w:w="794" w:type="dxa"/>
            <w:tcBorders>
              <w:top w:val="nil"/>
              <w:left w:val="nil"/>
              <w:bottom w:val="nil"/>
              <w:right w:val="nil"/>
            </w:tcBorders>
            <w:shd w:val="clear" w:color="auto" w:fill="auto"/>
            <w:vAlign w:val="bottom"/>
          </w:tcPr>
          <w:p w:rsidR="00064DA7" w:rsidRPr="00FF17EC" w:rsidRDefault="00064DA7" w:rsidP="00F966D9">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tcPr>
          <w:p w:rsidR="00064DA7" w:rsidRPr="00FF17EC" w:rsidRDefault="00064DA7" w:rsidP="00F966D9">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tcPr>
          <w:p w:rsidR="00064DA7" w:rsidRPr="00FF17EC" w:rsidRDefault="00064DA7" w:rsidP="00F966D9">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tcPr>
          <w:p w:rsidR="00064DA7" w:rsidRPr="00FF17EC" w:rsidRDefault="00064DA7" w:rsidP="00F966D9">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tcPr>
          <w:p w:rsidR="00064DA7" w:rsidRPr="00FF17EC" w:rsidRDefault="00064DA7" w:rsidP="00F966D9">
            <w:pPr>
              <w:keepNext/>
              <w:keepLines/>
              <w:spacing w:after="0" w:line="240" w:lineRule="auto"/>
              <w:jc w:val="right"/>
              <w:rPr>
                <w:rFonts w:cs="Times New Roman"/>
                <w:lang w:val="it-IT" w:eastAsia="it-IT"/>
              </w:rPr>
            </w:pPr>
            <w:r w:rsidRPr="00FF17EC">
              <w:rPr>
                <w:rFonts w:cs="Times New Roman"/>
                <w:lang w:val="it-IT" w:eastAsia="it-IT"/>
              </w:rPr>
              <w:t>13</w:t>
            </w:r>
          </w:p>
        </w:tc>
        <w:tc>
          <w:tcPr>
            <w:tcW w:w="794" w:type="dxa"/>
            <w:tcBorders>
              <w:top w:val="nil"/>
              <w:left w:val="nil"/>
              <w:bottom w:val="nil"/>
              <w:right w:val="nil"/>
            </w:tcBorders>
            <w:shd w:val="clear" w:color="auto" w:fill="auto"/>
            <w:noWrap/>
            <w:vAlign w:val="bottom"/>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w:t>
            </w:r>
          </w:p>
        </w:tc>
      </w:tr>
      <w:tr w:rsidR="00064DA7" w:rsidRPr="00FF17EC" w:rsidTr="004B54BA">
        <w:trPr>
          <w:trHeight w:val="283"/>
          <w:jc w:val="center"/>
        </w:trPr>
        <w:tc>
          <w:tcPr>
            <w:tcW w:w="1993" w:type="dxa"/>
            <w:tcBorders>
              <w:top w:val="nil"/>
              <w:left w:val="nil"/>
              <w:bottom w:val="nil"/>
              <w:right w:val="nil"/>
            </w:tcBorders>
            <w:shd w:val="clear" w:color="auto" w:fill="auto"/>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Braničevski</w:t>
            </w:r>
          </w:p>
        </w:tc>
        <w:tc>
          <w:tcPr>
            <w:tcW w:w="794" w:type="dxa"/>
            <w:tcBorders>
              <w:top w:val="nil"/>
              <w:left w:val="nil"/>
              <w:bottom w:val="nil"/>
              <w:right w:val="nil"/>
            </w:tcBorders>
            <w:shd w:val="clear" w:color="auto" w:fill="auto"/>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16</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16</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18</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19</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17</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w:t>
            </w:r>
          </w:p>
        </w:tc>
      </w:tr>
      <w:tr w:rsidR="00064DA7" w:rsidRPr="00FF17EC" w:rsidTr="004B54BA">
        <w:trPr>
          <w:trHeight w:val="283"/>
          <w:jc w:val="center"/>
        </w:trPr>
        <w:tc>
          <w:tcPr>
            <w:tcW w:w="1993" w:type="dxa"/>
            <w:tcBorders>
              <w:top w:val="nil"/>
              <w:left w:val="nil"/>
              <w:bottom w:val="nil"/>
              <w:right w:val="nil"/>
            </w:tcBorders>
            <w:shd w:val="clear" w:color="auto" w:fill="auto"/>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Borski</w:t>
            </w:r>
          </w:p>
        </w:tc>
        <w:tc>
          <w:tcPr>
            <w:tcW w:w="794" w:type="dxa"/>
            <w:tcBorders>
              <w:top w:val="nil"/>
              <w:left w:val="nil"/>
              <w:bottom w:val="nil"/>
              <w:right w:val="nil"/>
            </w:tcBorders>
            <w:shd w:val="clear" w:color="auto" w:fill="auto"/>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17</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18</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20</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21</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20</w:t>
            </w:r>
          </w:p>
        </w:tc>
        <w:tc>
          <w:tcPr>
            <w:tcW w:w="794" w:type="dxa"/>
            <w:tcBorders>
              <w:top w:val="nil"/>
              <w:left w:val="nil"/>
              <w:bottom w:val="nil"/>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lang w:val="it-IT" w:eastAsia="it-IT"/>
              </w:rPr>
            </w:pPr>
            <w:r w:rsidRPr="00FF17EC">
              <w:rPr>
                <w:rFonts w:cs="Times New Roman"/>
                <w:lang w:val="it-IT" w:eastAsia="it-IT"/>
              </w:rPr>
              <w:t>-</w:t>
            </w:r>
          </w:p>
        </w:tc>
      </w:tr>
      <w:tr w:rsidR="00064DA7" w:rsidRPr="00FF17EC" w:rsidTr="004B54BA">
        <w:trPr>
          <w:trHeight w:val="283"/>
          <w:jc w:val="center"/>
        </w:trPr>
        <w:tc>
          <w:tcPr>
            <w:tcW w:w="1993" w:type="dxa"/>
            <w:tcBorders>
              <w:top w:val="nil"/>
              <w:left w:val="nil"/>
              <w:bottom w:val="single" w:sz="4" w:space="0" w:color="auto"/>
              <w:right w:val="nil"/>
            </w:tcBorders>
            <w:shd w:val="clear" w:color="auto" w:fill="auto"/>
            <w:vAlign w:val="bottom"/>
            <w:hideMark/>
          </w:tcPr>
          <w:p w:rsidR="00064DA7" w:rsidRPr="00FF17EC" w:rsidRDefault="00064DA7" w:rsidP="004B54BA">
            <w:pPr>
              <w:keepNext/>
              <w:keepLines/>
              <w:spacing w:after="0" w:line="240" w:lineRule="auto"/>
              <w:jc w:val="right"/>
              <w:rPr>
                <w:rFonts w:cs="Times New Roman"/>
                <w:b/>
                <w:bCs/>
                <w:lang w:val="it-IT" w:eastAsia="it-IT"/>
              </w:rPr>
            </w:pPr>
            <w:r w:rsidRPr="00FF17EC">
              <w:rPr>
                <w:rFonts w:cs="Times New Roman"/>
                <w:b/>
                <w:bCs/>
                <w:lang w:val="it-IT" w:eastAsia="it-IT"/>
              </w:rPr>
              <w:t>SERBIA</w:t>
            </w:r>
          </w:p>
        </w:tc>
        <w:tc>
          <w:tcPr>
            <w:tcW w:w="794" w:type="dxa"/>
            <w:tcBorders>
              <w:top w:val="nil"/>
              <w:left w:val="nil"/>
              <w:bottom w:val="single" w:sz="4" w:space="0" w:color="auto"/>
              <w:right w:val="nil"/>
            </w:tcBorders>
            <w:shd w:val="clear" w:color="auto" w:fill="auto"/>
            <w:vAlign w:val="bottom"/>
            <w:hideMark/>
          </w:tcPr>
          <w:p w:rsidR="00064DA7" w:rsidRPr="00FF17EC" w:rsidRDefault="00064DA7" w:rsidP="004B54BA">
            <w:pPr>
              <w:keepNext/>
              <w:keepLines/>
              <w:spacing w:after="0" w:line="240" w:lineRule="auto"/>
              <w:jc w:val="right"/>
              <w:rPr>
                <w:rFonts w:cs="Times New Roman"/>
                <w:b/>
                <w:lang w:val="it-IT" w:eastAsia="it-IT"/>
              </w:rPr>
            </w:pPr>
            <w:r w:rsidRPr="00FF17EC">
              <w:rPr>
                <w:rFonts w:cs="Times New Roman"/>
                <w:b/>
                <w:lang w:val="it-IT" w:eastAsia="it-IT"/>
              </w:rPr>
              <w:t>898</w:t>
            </w:r>
          </w:p>
        </w:tc>
        <w:tc>
          <w:tcPr>
            <w:tcW w:w="794" w:type="dxa"/>
            <w:tcBorders>
              <w:top w:val="nil"/>
              <w:left w:val="nil"/>
              <w:bottom w:val="single" w:sz="4" w:space="0" w:color="auto"/>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b/>
                <w:lang w:val="it-IT" w:eastAsia="it-IT"/>
              </w:rPr>
            </w:pPr>
            <w:r w:rsidRPr="00FF17EC">
              <w:rPr>
                <w:rFonts w:cs="Times New Roman"/>
                <w:b/>
                <w:lang w:val="it-IT" w:eastAsia="it-IT"/>
              </w:rPr>
              <w:t>948</w:t>
            </w:r>
          </w:p>
        </w:tc>
        <w:tc>
          <w:tcPr>
            <w:tcW w:w="794" w:type="dxa"/>
            <w:tcBorders>
              <w:top w:val="nil"/>
              <w:left w:val="nil"/>
              <w:bottom w:val="single" w:sz="4" w:space="0" w:color="auto"/>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b/>
                <w:lang w:val="it-IT" w:eastAsia="it-IT"/>
              </w:rPr>
            </w:pPr>
            <w:r w:rsidRPr="00FF17EC">
              <w:rPr>
                <w:rFonts w:cs="Times New Roman"/>
                <w:b/>
                <w:lang w:val="it-IT" w:eastAsia="it-IT"/>
              </w:rPr>
              <w:t>965</w:t>
            </w:r>
          </w:p>
        </w:tc>
        <w:tc>
          <w:tcPr>
            <w:tcW w:w="794" w:type="dxa"/>
            <w:tcBorders>
              <w:top w:val="nil"/>
              <w:left w:val="nil"/>
              <w:bottom w:val="single" w:sz="4" w:space="0" w:color="auto"/>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b/>
                <w:lang w:val="it-IT" w:eastAsia="it-IT"/>
              </w:rPr>
            </w:pPr>
            <w:r w:rsidRPr="00FF17EC">
              <w:rPr>
                <w:rFonts w:cs="Times New Roman"/>
                <w:b/>
                <w:lang w:val="it-IT" w:eastAsia="it-IT"/>
              </w:rPr>
              <w:t>1038</w:t>
            </w:r>
          </w:p>
        </w:tc>
        <w:tc>
          <w:tcPr>
            <w:tcW w:w="794" w:type="dxa"/>
            <w:tcBorders>
              <w:top w:val="nil"/>
              <w:left w:val="nil"/>
              <w:bottom w:val="single" w:sz="4" w:space="0" w:color="auto"/>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b/>
                <w:lang w:val="it-IT" w:eastAsia="it-IT"/>
              </w:rPr>
            </w:pPr>
            <w:r w:rsidRPr="00FF17EC">
              <w:rPr>
                <w:rFonts w:cs="Times New Roman"/>
                <w:b/>
                <w:lang w:val="it-IT" w:eastAsia="it-IT"/>
              </w:rPr>
              <w:t>1039</w:t>
            </w:r>
          </w:p>
        </w:tc>
        <w:tc>
          <w:tcPr>
            <w:tcW w:w="794" w:type="dxa"/>
            <w:tcBorders>
              <w:top w:val="nil"/>
              <w:left w:val="nil"/>
              <w:bottom w:val="single" w:sz="4" w:space="0" w:color="auto"/>
              <w:right w:val="nil"/>
            </w:tcBorders>
            <w:shd w:val="clear" w:color="auto" w:fill="auto"/>
            <w:noWrap/>
            <w:vAlign w:val="bottom"/>
            <w:hideMark/>
          </w:tcPr>
          <w:p w:rsidR="00064DA7" w:rsidRPr="00FF17EC" w:rsidRDefault="00064DA7" w:rsidP="004B54BA">
            <w:pPr>
              <w:keepNext/>
              <w:keepLines/>
              <w:spacing w:after="0" w:line="240" w:lineRule="auto"/>
              <w:jc w:val="right"/>
              <w:rPr>
                <w:rFonts w:cs="Times New Roman"/>
                <w:b/>
                <w:lang w:val="it-IT" w:eastAsia="it-IT"/>
              </w:rPr>
            </w:pPr>
            <w:r w:rsidRPr="00FF17EC">
              <w:rPr>
                <w:rFonts w:cs="Times New Roman"/>
                <w:b/>
                <w:lang w:val="it-IT" w:eastAsia="it-IT"/>
              </w:rPr>
              <w:t> </w:t>
            </w:r>
          </w:p>
        </w:tc>
      </w:tr>
    </w:tbl>
    <w:p w:rsidR="004B54BA" w:rsidRPr="00FF17EC" w:rsidRDefault="004B54BA" w:rsidP="004B54BA">
      <w:pPr>
        <w:pStyle w:val="Caption"/>
        <w:ind w:left="1418"/>
        <w:jc w:val="left"/>
        <w:rPr>
          <w:sz w:val="22"/>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9</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1</w:t>
      </w:r>
      <w:r w:rsidR="00085686" w:rsidRPr="00FF17EC">
        <w:rPr>
          <w:sz w:val="22"/>
        </w:rPr>
        <w:fldChar w:fldCharType="end"/>
      </w:r>
      <w:r w:rsidRPr="00FF17EC">
        <w:rPr>
          <w:b w:val="0"/>
          <w:sz w:val="22"/>
        </w:rPr>
        <w:t xml:space="preserve"> </w:t>
      </w:r>
      <w:r w:rsidRPr="00FF17EC">
        <w:rPr>
          <w:sz w:val="22"/>
        </w:rPr>
        <w:t>Tourism infrastructures stock and dynamic</w:t>
      </w:r>
    </w:p>
    <w:p w:rsidR="004B54BA" w:rsidRPr="00FF17EC" w:rsidRDefault="004B54BA" w:rsidP="004B54BA">
      <w:r w:rsidRPr="00FF17EC">
        <w:t>Since 2007 the number of facilities has been growing at intensive pace in the Romanian side of the eligible area, and in some of the Serbian districts, in particular</w:t>
      </w:r>
      <w:r w:rsidR="00634723" w:rsidRPr="00FF17EC">
        <w:t xml:space="preserve"> </w:t>
      </w:r>
      <w:r w:rsidRPr="00FF17EC">
        <w:t xml:space="preserve">Južno-Banatski and Borski, but in these last two districts the initial asset was limited to 40 units in total. </w:t>
      </w:r>
    </w:p>
    <w:p w:rsidR="004B54BA" w:rsidRPr="00FF17EC" w:rsidRDefault="004B54BA" w:rsidP="004B54BA">
      <w:r w:rsidRPr="00FF17EC">
        <w:t xml:space="preserve">The number of beds per tourism facility is below the national averages, with just two exceptions in Serbia, and below 50 in most of the areas, signalling a tourist hospitality based on small </w:t>
      </w:r>
      <w:r w:rsidRPr="00FF17EC">
        <w:lastRenderedPageBreak/>
        <w:t>hotels, in most cased independently operated and not integrated in international brands and networks.</w:t>
      </w:r>
    </w:p>
    <w:p w:rsidR="004B54BA" w:rsidRPr="00FF17EC" w:rsidRDefault="004B54BA" w:rsidP="004B54BA">
      <w:r w:rsidRPr="00FF17EC">
        <w:t>The growth of the last years has not changed this structure, in Romanian counties in particular the average number of bed has slightly declining, signalling that the new structures hold very few beds, and are concentrated in the basic hotel categories.</w:t>
      </w:r>
    </w:p>
    <w:p w:rsidR="004B54BA" w:rsidRPr="00FF17EC" w:rsidRDefault="004B54BA" w:rsidP="004B54BA">
      <w:r w:rsidRPr="00FF17EC">
        <w:t>In Braniceski and Borski the trend has been different, and the establishment of larger new hotels has led to a steep growth of the number of bed per facility.</w:t>
      </w:r>
    </w:p>
    <w:tbl>
      <w:tblPr>
        <w:tblW w:w="6490" w:type="dxa"/>
        <w:tblInd w:w="70" w:type="dxa"/>
        <w:tblCellMar>
          <w:left w:w="70" w:type="dxa"/>
          <w:right w:w="70" w:type="dxa"/>
        </w:tblCellMar>
        <w:tblLook w:val="04A0" w:firstRow="1" w:lastRow="0" w:firstColumn="1" w:lastColumn="0" w:noHBand="0" w:noVBand="1"/>
      </w:tblPr>
      <w:tblGrid>
        <w:gridCol w:w="1674"/>
        <w:gridCol w:w="1125"/>
        <w:gridCol w:w="813"/>
        <w:gridCol w:w="656"/>
        <w:gridCol w:w="656"/>
        <w:gridCol w:w="866"/>
        <w:gridCol w:w="700"/>
      </w:tblGrid>
      <w:tr w:rsidR="004B54BA" w:rsidRPr="00FF17EC" w:rsidTr="004B54BA">
        <w:trPr>
          <w:trHeight w:val="170"/>
        </w:trPr>
        <w:tc>
          <w:tcPr>
            <w:tcW w:w="6490" w:type="dxa"/>
            <w:gridSpan w:val="7"/>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left"/>
              <w:rPr>
                <w:rFonts w:cs="Times New Roman"/>
                <w:b/>
                <w:bCs/>
                <w:i/>
                <w:iCs/>
                <w:lang w:val="en-US" w:eastAsia="it-IT"/>
              </w:rPr>
            </w:pPr>
            <w:r w:rsidRPr="00FF17EC">
              <w:rPr>
                <w:rFonts w:cs="Times New Roman"/>
                <w:b/>
                <w:bCs/>
                <w:lang w:val="en-US" w:eastAsia="it-IT"/>
              </w:rPr>
              <w:t>Average number of beds per tourism facility</w:t>
            </w:r>
          </w:p>
        </w:tc>
      </w:tr>
      <w:tr w:rsidR="004B54BA" w:rsidRPr="00FF17EC" w:rsidTr="004B54BA">
        <w:trPr>
          <w:trHeight w:val="170"/>
        </w:trPr>
        <w:tc>
          <w:tcPr>
            <w:tcW w:w="1710"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Year:</w:t>
            </w:r>
          </w:p>
        </w:tc>
        <w:tc>
          <w:tcPr>
            <w:tcW w:w="1125"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2007</w:t>
            </w:r>
          </w:p>
        </w:tc>
        <w:tc>
          <w:tcPr>
            <w:tcW w:w="813"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2008</w:t>
            </w:r>
          </w:p>
        </w:tc>
        <w:tc>
          <w:tcPr>
            <w:tcW w:w="650"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2009</w:t>
            </w:r>
          </w:p>
        </w:tc>
        <w:tc>
          <w:tcPr>
            <w:tcW w:w="626"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2010</w:t>
            </w:r>
          </w:p>
        </w:tc>
        <w:tc>
          <w:tcPr>
            <w:tcW w:w="866"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2011</w:t>
            </w:r>
          </w:p>
        </w:tc>
        <w:tc>
          <w:tcPr>
            <w:tcW w:w="700" w:type="dxa"/>
            <w:tcBorders>
              <w:top w:val="single" w:sz="4" w:space="0" w:color="auto"/>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2012</w:t>
            </w:r>
          </w:p>
        </w:tc>
      </w:tr>
      <w:tr w:rsidR="004B54BA" w:rsidRPr="00FF17EC" w:rsidTr="004B54BA">
        <w:trPr>
          <w:trHeight w:val="170"/>
        </w:trPr>
        <w:tc>
          <w:tcPr>
            <w:tcW w:w="171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Timiş</w:t>
            </w:r>
          </w:p>
        </w:tc>
        <w:tc>
          <w:tcPr>
            <w:tcW w:w="1125"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56</w:t>
            </w:r>
          </w:p>
        </w:tc>
        <w:tc>
          <w:tcPr>
            <w:tcW w:w="813"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43</w:t>
            </w:r>
          </w:p>
        </w:tc>
        <w:tc>
          <w:tcPr>
            <w:tcW w:w="65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57</w:t>
            </w:r>
          </w:p>
        </w:tc>
        <w:tc>
          <w:tcPr>
            <w:tcW w:w="62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56</w:t>
            </w:r>
          </w:p>
        </w:tc>
        <w:tc>
          <w:tcPr>
            <w:tcW w:w="86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57</w:t>
            </w:r>
          </w:p>
        </w:tc>
        <w:tc>
          <w:tcPr>
            <w:tcW w:w="7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p>
        </w:tc>
      </w:tr>
      <w:tr w:rsidR="004B54BA" w:rsidRPr="00FF17EC" w:rsidTr="004B54BA">
        <w:trPr>
          <w:trHeight w:val="170"/>
        </w:trPr>
        <w:tc>
          <w:tcPr>
            <w:tcW w:w="171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Caraş-Severin</w:t>
            </w:r>
          </w:p>
        </w:tc>
        <w:tc>
          <w:tcPr>
            <w:tcW w:w="1125"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59</w:t>
            </w:r>
          </w:p>
        </w:tc>
        <w:tc>
          <w:tcPr>
            <w:tcW w:w="813"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61</w:t>
            </w:r>
          </w:p>
        </w:tc>
        <w:tc>
          <w:tcPr>
            <w:tcW w:w="65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55</w:t>
            </w:r>
          </w:p>
        </w:tc>
        <w:tc>
          <w:tcPr>
            <w:tcW w:w="62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50</w:t>
            </w:r>
          </w:p>
        </w:tc>
        <w:tc>
          <w:tcPr>
            <w:tcW w:w="86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47</w:t>
            </w:r>
          </w:p>
        </w:tc>
        <w:tc>
          <w:tcPr>
            <w:tcW w:w="7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42</w:t>
            </w:r>
          </w:p>
        </w:tc>
      </w:tr>
      <w:tr w:rsidR="004B54BA" w:rsidRPr="00FF17EC" w:rsidTr="004B54BA">
        <w:trPr>
          <w:trHeight w:val="170"/>
        </w:trPr>
        <w:tc>
          <w:tcPr>
            <w:tcW w:w="171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Mehedinţi</w:t>
            </w:r>
          </w:p>
        </w:tc>
        <w:tc>
          <w:tcPr>
            <w:tcW w:w="1125"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67</w:t>
            </w:r>
          </w:p>
        </w:tc>
        <w:tc>
          <w:tcPr>
            <w:tcW w:w="813"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64</w:t>
            </w:r>
          </w:p>
        </w:tc>
        <w:tc>
          <w:tcPr>
            <w:tcW w:w="65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51</w:t>
            </w:r>
          </w:p>
        </w:tc>
        <w:tc>
          <w:tcPr>
            <w:tcW w:w="62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56</w:t>
            </w:r>
          </w:p>
        </w:tc>
        <w:tc>
          <w:tcPr>
            <w:tcW w:w="86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45</w:t>
            </w:r>
          </w:p>
        </w:tc>
        <w:tc>
          <w:tcPr>
            <w:tcW w:w="7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42</w:t>
            </w:r>
          </w:p>
        </w:tc>
      </w:tr>
      <w:tr w:rsidR="004B54BA" w:rsidRPr="00FF17EC" w:rsidTr="004B54BA">
        <w:trPr>
          <w:trHeight w:val="170"/>
        </w:trPr>
        <w:tc>
          <w:tcPr>
            <w:tcW w:w="171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ROMANIA</w:t>
            </w:r>
          </w:p>
        </w:tc>
        <w:tc>
          <w:tcPr>
            <w:tcW w:w="1125"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60</w:t>
            </w:r>
          </w:p>
        </w:tc>
        <w:tc>
          <w:tcPr>
            <w:tcW w:w="813"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60</w:t>
            </w:r>
          </w:p>
        </w:tc>
        <w:tc>
          <w:tcPr>
            <w:tcW w:w="65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60</w:t>
            </w:r>
          </w:p>
        </w:tc>
        <w:tc>
          <w:tcPr>
            <w:tcW w:w="62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60</w:t>
            </w:r>
          </w:p>
        </w:tc>
        <w:tc>
          <w:tcPr>
            <w:tcW w:w="86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56</w:t>
            </w:r>
          </w:p>
        </w:tc>
        <w:tc>
          <w:tcPr>
            <w:tcW w:w="7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b/>
                <w:bCs/>
                <w:lang w:val="it-IT" w:eastAsia="it-IT"/>
              </w:rPr>
            </w:pPr>
          </w:p>
        </w:tc>
      </w:tr>
      <w:tr w:rsidR="004B54BA" w:rsidRPr="00FF17EC" w:rsidTr="004B54BA">
        <w:trPr>
          <w:trHeight w:val="170"/>
        </w:trPr>
        <w:tc>
          <w:tcPr>
            <w:tcW w:w="171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Severno-Banatski</w:t>
            </w:r>
          </w:p>
        </w:tc>
        <w:tc>
          <w:tcPr>
            <w:tcW w:w="1125"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28</w:t>
            </w:r>
          </w:p>
        </w:tc>
        <w:tc>
          <w:tcPr>
            <w:tcW w:w="813"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28</w:t>
            </w:r>
          </w:p>
        </w:tc>
        <w:tc>
          <w:tcPr>
            <w:tcW w:w="65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29</w:t>
            </w:r>
          </w:p>
        </w:tc>
        <w:tc>
          <w:tcPr>
            <w:tcW w:w="62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29</w:t>
            </w:r>
          </w:p>
        </w:tc>
        <w:tc>
          <w:tcPr>
            <w:tcW w:w="86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34</w:t>
            </w:r>
          </w:p>
        </w:tc>
        <w:tc>
          <w:tcPr>
            <w:tcW w:w="7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p>
        </w:tc>
      </w:tr>
      <w:tr w:rsidR="004B54BA" w:rsidRPr="00FF17EC" w:rsidTr="004B54BA">
        <w:trPr>
          <w:trHeight w:val="170"/>
        </w:trPr>
        <w:tc>
          <w:tcPr>
            <w:tcW w:w="171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Srednje-Banatski</w:t>
            </w:r>
          </w:p>
        </w:tc>
        <w:tc>
          <w:tcPr>
            <w:tcW w:w="1125"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22</w:t>
            </w:r>
          </w:p>
        </w:tc>
        <w:tc>
          <w:tcPr>
            <w:tcW w:w="813"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22</w:t>
            </w:r>
          </w:p>
        </w:tc>
        <w:tc>
          <w:tcPr>
            <w:tcW w:w="65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29</w:t>
            </w:r>
          </w:p>
        </w:tc>
        <w:tc>
          <w:tcPr>
            <w:tcW w:w="62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28</w:t>
            </w:r>
          </w:p>
        </w:tc>
        <w:tc>
          <w:tcPr>
            <w:tcW w:w="86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33</w:t>
            </w:r>
          </w:p>
        </w:tc>
        <w:tc>
          <w:tcPr>
            <w:tcW w:w="7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p>
        </w:tc>
      </w:tr>
      <w:tr w:rsidR="004B54BA" w:rsidRPr="00FF17EC" w:rsidTr="004B54BA">
        <w:trPr>
          <w:trHeight w:val="170"/>
        </w:trPr>
        <w:tc>
          <w:tcPr>
            <w:tcW w:w="171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Južno-Banatski</w:t>
            </w:r>
          </w:p>
        </w:tc>
        <w:tc>
          <w:tcPr>
            <w:tcW w:w="1125"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48</w:t>
            </w:r>
          </w:p>
        </w:tc>
        <w:tc>
          <w:tcPr>
            <w:tcW w:w="813"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50</w:t>
            </w:r>
          </w:p>
        </w:tc>
        <w:tc>
          <w:tcPr>
            <w:tcW w:w="65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46</w:t>
            </w:r>
          </w:p>
        </w:tc>
        <w:tc>
          <w:tcPr>
            <w:tcW w:w="62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47</w:t>
            </w:r>
          </w:p>
        </w:tc>
        <w:tc>
          <w:tcPr>
            <w:tcW w:w="86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44</w:t>
            </w:r>
          </w:p>
        </w:tc>
        <w:tc>
          <w:tcPr>
            <w:tcW w:w="7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p>
        </w:tc>
      </w:tr>
      <w:tr w:rsidR="001F08B3" w:rsidRPr="00FF17EC" w:rsidTr="004B54BA">
        <w:trPr>
          <w:trHeight w:val="170"/>
        </w:trPr>
        <w:tc>
          <w:tcPr>
            <w:tcW w:w="1710" w:type="dxa"/>
            <w:tcBorders>
              <w:top w:val="nil"/>
              <w:left w:val="nil"/>
              <w:bottom w:val="nil"/>
              <w:right w:val="nil"/>
            </w:tcBorders>
            <w:shd w:val="clear" w:color="auto" w:fill="auto"/>
            <w:vAlign w:val="bottom"/>
          </w:tcPr>
          <w:p w:rsidR="001F08B3" w:rsidRPr="00FF17EC" w:rsidRDefault="001F08B3" w:rsidP="004B54BA">
            <w:pPr>
              <w:keepNext/>
              <w:spacing w:after="0" w:line="240" w:lineRule="auto"/>
              <w:jc w:val="center"/>
              <w:rPr>
                <w:rFonts w:cs="Times New Roman"/>
                <w:lang w:val="it-IT" w:eastAsia="it-IT"/>
              </w:rPr>
            </w:pPr>
            <w:r w:rsidRPr="00FF17EC">
              <w:rPr>
                <w:rFonts w:cs="Times New Roman"/>
                <w:lang w:val="it-IT" w:eastAsia="it-IT"/>
              </w:rPr>
              <w:t>Podunavski</w:t>
            </w:r>
          </w:p>
        </w:tc>
        <w:tc>
          <w:tcPr>
            <w:tcW w:w="1125" w:type="dxa"/>
            <w:tcBorders>
              <w:top w:val="nil"/>
              <w:left w:val="nil"/>
              <w:bottom w:val="nil"/>
              <w:right w:val="nil"/>
            </w:tcBorders>
            <w:shd w:val="clear" w:color="auto" w:fill="auto"/>
            <w:vAlign w:val="bottom"/>
          </w:tcPr>
          <w:p w:rsidR="001F08B3" w:rsidRPr="00FF17EC" w:rsidRDefault="001F08B3" w:rsidP="004B54BA">
            <w:pPr>
              <w:keepNext/>
              <w:spacing w:after="0" w:line="240" w:lineRule="auto"/>
              <w:jc w:val="center"/>
              <w:rPr>
                <w:rFonts w:cs="Times New Roman"/>
                <w:lang w:val="it-IT" w:eastAsia="it-IT"/>
              </w:rPr>
            </w:pPr>
          </w:p>
        </w:tc>
        <w:tc>
          <w:tcPr>
            <w:tcW w:w="813" w:type="dxa"/>
            <w:tcBorders>
              <w:top w:val="nil"/>
              <w:left w:val="nil"/>
              <w:bottom w:val="nil"/>
              <w:right w:val="nil"/>
            </w:tcBorders>
            <w:shd w:val="clear" w:color="auto" w:fill="auto"/>
            <w:noWrap/>
            <w:vAlign w:val="bottom"/>
          </w:tcPr>
          <w:p w:rsidR="001F08B3" w:rsidRPr="00FF17EC" w:rsidRDefault="001F08B3" w:rsidP="004B54BA">
            <w:pPr>
              <w:keepNext/>
              <w:spacing w:after="0" w:line="240" w:lineRule="auto"/>
              <w:jc w:val="center"/>
              <w:rPr>
                <w:rFonts w:cs="Times New Roman"/>
                <w:lang w:val="it-IT" w:eastAsia="it-IT"/>
              </w:rPr>
            </w:pPr>
          </w:p>
        </w:tc>
        <w:tc>
          <w:tcPr>
            <w:tcW w:w="650" w:type="dxa"/>
            <w:tcBorders>
              <w:top w:val="nil"/>
              <w:left w:val="nil"/>
              <w:bottom w:val="nil"/>
              <w:right w:val="nil"/>
            </w:tcBorders>
            <w:shd w:val="clear" w:color="auto" w:fill="auto"/>
            <w:noWrap/>
            <w:vAlign w:val="bottom"/>
          </w:tcPr>
          <w:p w:rsidR="001F08B3" w:rsidRPr="00FF17EC" w:rsidRDefault="001F08B3" w:rsidP="004B54BA">
            <w:pPr>
              <w:keepNext/>
              <w:spacing w:after="0" w:line="240" w:lineRule="auto"/>
              <w:jc w:val="center"/>
              <w:rPr>
                <w:rFonts w:cs="Times New Roman"/>
                <w:lang w:val="it-IT" w:eastAsia="it-IT"/>
              </w:rPr>
            </w:pPr>
          </w:p>
        </w:tc>
        <w:tc>
          <w:tcPr>
            <w:tcW w:w="626" w:type="dxa"/>
            <w:tcBorders>
              <w:top w:val="nil"/>
              <w:left w:val="nil"/>
              <w:bottom w:val="nil"/>
              <w:right w:val="nil"/>
            </w:tcBorders>
            <w:shd w:val="clear" w:color="auto" w:fill="auto"/>
            <w:noWrap/>
            <w:vAlign w:val="bottom"/>
          </w:tcPr>
          <w:p w:rsidR="001F08B3" w:rsidRPr="00FF17EC" w:rsidRDefault="001F08B3" w:rsidP="004B54BA">
            <w:pPr>
              <w:keepNext/>
              <w:spacing w:after="0" w:line="240" w:lineRule="auto"/>
              <w:jc w:val="center"/>
              <w:rPr>
                <w:rFonts w:cs="Times New Roman"/>
                <w:lang w:val="it-IT" w:eastAsia="it-IT"/>
              </w:rPr>
            </w:pPr>
          </w:p>
        </w:tc>
        <w:tc>
          <w:tcPr>
            <w:tcW w:w="866" w:type="dxa"/>
            <w:tcBorders>
              <w:top w:val="nil"/>
              <w:left w:val="nil"/>
              <w:bottom w:val="nil"/>
              <w:right w:val="nil"/>
            </w:tcBorders>
            <w:shd w:val="clear" w:color="auto" w:fill="auto"/>
            <w:noWrap/>
            <w:vAlign w:val="bottom"/>
          </w:tcPr>
          <w:p w:rsidR="001F08B3" w:rsidRPr="00FF17EC" w:rsidRDefault="001F08B3" w:rsidP="004B54BA">
            <w:pPr>
              <w:keepNext/>
              <w:spacing w:after="0" w:line="240" w:lineRule="auto"/>
              <w:jc w:val="center"/>
              <w:rPr>
                <w:rFonts w:cs="Times New Roman"/>
                <w:lang w:val="it-IT" w:eastAsia="it-IT"/>
              </w:rPr>
            </w:pPr>
          </w:p>
        </w:tc>
        <w:tc>
          <w:tcPr>
            <w:tcW w:w="700" w:type="dxa"/>
            <w:tcBorders>
              <w:top w:val="nil"/>
              <w:left w:val="nil"/>
              <w:bottom w:val="nil"/>
              <w:right w:val="nil"/>
            </w:tcBorders>
            <w:shd w:val="clear" w:color="auto" w:fill="auto"/>
            <w:noWrap/>
            <w:vAlign w:val="bottom"/>
          </w:tcPr>
          <w:p w:rsidR="001F08B3" w:rsidRPr="00FF17EC" w:rsidRDefault="001F08B3" w:rsidP="004B54BA">
            <w:pPr>
              <w:keepNext/>
              <w:spacing w:after="0" w:line="240" w:lineRule="auto"/>
              <w:jc w:val="center"/>
              <w:rPr>
                <w:rFonts w:cs="Times New Roman"/>
                <w:lang w:val="it-IT" w:eastAsia="it-IT"/>
              </w:rPr>
            </w:pPr>
          </w:p>
        </w:tc>
      </w:tr>
      <w:tr w:rsidR="004B54BA" w:rsidRPr="00FF17EC" w:rsidTr="004B54BA">
        <w:trPr>
          <w:trHeight w:val="170"/>
        </w:trPr>
        <w:tc>
          <w:tcPr>
            <w:tcW w:w="171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Braničevski</w:t>
            </w:r>
          </w:p>
        </w:tc>
        <w:tc>
          <w:tcPr>
            <w:tcW w:w="1125"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53</w:t>
            </w:r>
          </w:p>
        </w:tc>
        <w:tc>
          <w:tcPr>
            <w:tcW w:w="813"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55</w:t>
            </w:r>
          </w:p>
        </w:tc>
        <w:tc>
          <w:tcPr>
            <w:tcW w:w="65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55</w:t>
            </w:r>
          </w:p>
        </w:tc>
        <w:tc>
          <w:tcPr>
            <w:tcW w:w="62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53</w:t>
            </w:r>
          </w:p>
        </w:tc>
        <w:tc>
          <w:tcPr>
            <w:tcW w:w="86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74</w:t>
            </w:r>
          </w:p>
        </w:tc>
        <w:tc>
          <w:tcPr>
            <w:tcW w:w="7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p>
        </w:tc>
      </w:tr>
      <w:tr w:rsidR="004B54BA" w:rsidRPr="00FF17EC" w:rsidTr="004B54BA">
        <w:trPr>
          <w:trHeight w:val="170"/>
        </w:trPr>
        <w:tc>
          <w:tcPr>
            <w:tcW w:w="171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Borski</w:t>
            </w:r>
          </w:p>
        </w:tc>
        <w:tc>
          <w:tcPr>
            <w:tcW w:w="1125"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55</w:t>
            </w:r>
          </w:p>
        </w:tc>
        <w:tc>
          <w:tcPr>
            <w:tcW w:w="813"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53</w:t>
            </w:r>
          </w:p>
        </w:tc>
        <w:tc>
          <w:tcPr>
            <w:tcW w:w="65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57</w:t>
            </w:r>
          </w:p>
        </w:tc>
        <w:tc>
          <w:tcPr>
            <w:tcW w:w="62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56</w:t>
            </w:r>
          </w:p>
        </w:tc>
        <w:tc>
          <w:tcPr>
            <w:tcW w:w="866"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65</w:t>
            </w:r>
          </w:p>
        </w:tc>
        <w:tc>
          <w:tcPr>
            <w:tcW w:w="7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p>
        </w:tc>
      </w:tr>
      <w:tr w:rsidR="004B54BA" w:rsidRPr="00FF17EC" w:rsidTr="004B54BA">
        <w:trPr>
          <w:trHeight w:val="170"/>
        </w:trPr>
        <w:tc>
          <w:tcPr>
            <w:tcW w:w="1710" w:type="dxa"/>
            <w:tcBorders>
              <w:top w:val="nil"/>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SERBIA</w:t>
            </w:r>
          </w:p>
        </w:tc>
        <w:tc>
          <w:tcPr>
            <w:tcW w:w="1125" w:type="dxa"/>
            <w:tcBorders>
              <w:top w:val="nil"/>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center"/>
              <w:rPr>
                <w:rFonts w:cs="Times New Roman"/>
                <w:b/>
                <w:bCs/>
                <w:lang w:val="it-IT" w:eastAsia="it-IT"/>
              </w:rPr>
            </w:pPr>
            <w:r w:rsidRPr="00FF17EC">
              <w:rPr>
                <w:rFonts w:cs="Times New Roman"/>
                <w:b/>
                <w:bCs/>
                <w:lang w:val="it-IT" w:eastAsia="it-IT"/>
              </w:rPr>
              <w:t>50</w:t>
            </w:r>
          </w:p>
        </w:tc>
        <w:tc>
          <w:tcPr>
            <w:tcW w:w="813"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49</w:t>
            </w:r>
          </w:p>
        </w:tc>
        <w:tc>
          <w:tcPr>
            <w:tcW w:w="650"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47</w:t>
            </w:r>
          </w:p>
        </w:tc>
        <w:tc>
          <w:tcPr>
            <w:tcW w:w="626"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46</w:t>
            </w:r>
          </w:p>
        </w:tc>
        <w:tc>
          <w:tcPr>
            <w:tcW w:w="866"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r w:rsidRPr="00FF17EC">
              <w:rPr>
                <w:rFonts w:cs="Times New Roman"/>
                <w:lang w:val="it-IT" w:eastAsia="it-IT"/>
              </w:rPr>
              <w:t>49</w:t>
            </w:r>
          </w:p>
        </w:tc>
        <w:tc>
          <w:tcPr>
            <w:tcW w:w="700"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lang w:val="it-IT" w:eastAsia="it-IT"/>
              </w:rPr>
            </w:pPr>
          </w:p>
        </w:tc>
      </w:tr>
    </w:tbl>
    <w:p w:rsidR="004B54BA" w:rsidRPr="00FF17EC" w:rsidRDefault="004B54BA" w:rsidP="004B54BA">
      <w:pPr>
        <w:pStyle w:val="Caption"/>
        <w:jc w:val="left"/>
        <w:rPr>
          <w:sz w:val="22"/>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9</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2</w:t>
      </w:r>
      <w:r w:rsidR="00085686" w:rsidRPr="00FF17EC">
        <w:rPr>
          <w:sz w:val="22"/>
        </w:rPr>
        <w:fldChar w:fldCharType="end"/>
      </w:r>
      <w:r w:rsidRPr="00FF17EC">
        <w:rPr>
          <w:b w:val="0"/>
          <w:sz w:val="22"/>
        </w:rPr>
        <w:t xml:space="preserve"> </w:t>
      </w:r>
      <w:r w:rsidR="005C4AE7" w:rsidRPr="00FF17EC">
        <w:rPr>
          <w:sz w:val="22"/>
        </w:rPr>
        <w:t>S</w:t>
      </w:r>
      <w:r w:rsidRPr="00FF17EC">
        <w:rPr>
          <w:sz w:val="22"/>
        </w:rPr>
        <w:t xml:space="preserve">tructural indicators of tourism facilities. </w:t>
      </w:r>
    </w:p>
    <w:p w:rsidR="004B54BA" w:rsidRPr="00FF17EC" w:rsidRDefault="004B54BA" w:rsidP="004B54BA">
      <w:r w:rsidRPr="00FF17EC">
        <w:t>The number of arrivals and overnight stays, confirms the large dominance of Timis county, that receives more than the double of arrivals than the second largest county per number of facilities (Mehedinti).</w:t>
      </w:r>
    </w:p>
    <w:p w:rsidR="00537AF9" w:rsidRPr="00FF17EC" w:rsidRDefault="004B54BA" w:rsidP="004B54BA">
      <w:pPr>
        <w:keepNext/>
        <w:spacing w:after="0"/>
      </w:pPr>
      <w:r w:rsidRPr="00FF17EC">
        <w:lastRenderedPageBreak/>
        <w:t xml:space="preserve"> </w:t>
      </w:r>
      <w:r w:rsidR="00537AF9" w:rsidRPr="00FF17EC">
        <w:t xml:space="preserve">  </w:t>
      </w:r>
      <w:r w:rsidR="00537AF9" w:rsidRPr="00FF17EC">
        <w:rPr>
          <w:noProof/>
          <w:lang w:eastAsia="en-GB"/>
        </w:rPr>
        <w:drawing>
          <wp:inline distT="0" distB="0" distL="0" distR="0">
            <wp:extent cx="4362450" cy="2857500"/>
            <wp:effectExtent l="0" t="0" r="19050" b="1905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4B54BA" w:rsidRPr="00FF17EC" w:rsidRDefault="004B54BA" w:rsidP="004B54BA">
      <w:pPr>
        <w:pStyle w:val="Caption"/>
        <w:rPr>
          <w:b w:val="0"/>
          <w:color w:val="0070C0"/>
          <w:sz w:val="22"/>
        </w:rPr>
      </w:pPr>
      <w:r w:rsidRPr="00FF17EC">
        <w:rPr>
          <w:sz w:val="22"/>
        </w:rPr>
        <w:t xml:space="preserve">Graph n. </w:t>
      </w:r>
      <w:r w:rsidR="005C4AE7" w:rsidRPr="00FF17EC">
        <w:rPr>
          <w:sz w:val="22"/>
        </w:rPr>
        <w:t>9</w:t>
      </w:r>
      <w:r w:rsidRPr="00FF17EC">
        <w:rPr>
          <w:sz w:val="22"/>
        </w:rPr>
        <w:noBreakHyphen/>
      </w:r>
      <w:r w:rsidR="00085686" w:rsidRPr="00FF17EC">
        <w:rPr>
          <w:sz w:val="22"/>
        </w:rPr>
        <w:fldChar w:fldCharType="begin"/>
      </w:r>
      <w:r w:rsidRPr="00FF17EC">
        <w:rPr>
          <w:sz w:val="22"/>
        </w:rPr>
        <w:instrText xml:space="preserve"> SEQ Graph_n. \* ARABIC \s 1 </w:instrText>
      </w:r>
      <w:r w:rsidR="00085686" w:rsidRPr="00FF17EC">
        <w:rPr>
          <w:sz w:val="22"/>
        </w:rPr>
        <w:fldChar w:fldCharType="separate"/>
      </w:r>
      <w:r w:rsidR="009737E5">
        <w:rPr>
          <w:noProof/>
          <w:sz w:val="22"/>
        </w:rPr>
        <w:t>1</w:t>
      </w:r>
      <w:r w:rsidR="00085686" w:rsidRPr="00FF17EC">
        <w:rPr>
          <w:sz w:val="22"/>
        </w:rPr>
        <w:fldChar w:fldCharType="end"/>
      </w:r>
      <w:r w:rsidR="00B949B6" w:rsidRPr="00FF17EC">
        <w:rPr>
          <w:sz w:val="22"/>
        </w:rPr>
        <w:t xml:space="preserve"> </w:t>
      </w:r>
      <w:r w:rsidR="00B949B6" w:rsidRPr="00FF17EC">
        <w:rPr>
          <w:color w:val="0070C0"/>
          <w:sz w:val="22"/>
        </w:rPr>
        <w:t>Tourist arrivals in the eligible area</w:t>
      </w:r>
    </w:p>
    <w:p w:rsidR="004B54BA" w:rsidRPr="00FF17EC" w:rsidRDefault="004B54BA" w:rsidP="004B54BA">
      <w:r w:rsidRPr="00FF17EC">
        <w:t>The trend of arrivals, that had reached a pick in the 2006-2007, has declined in the years after the global crisis, with a reduction of the average number of nights spent</w:t>
      </w:r>
      <w:r w:rsidRPr="00FF17EC">
        <w:rPr>
          <w:rStyle w:val="FootnoteReference"/>
        </w:rPr>
        <w:footnoteReference w:id="50"/>
      </w:r>
      <w:r w:rsidRPr="00FF17EC">
        <w:t>.</w:t>
      </w:r>
    </w:p>
    <w:p w:rsidR="004B54BA" w:rsidRPr="00FF17EC" w:rsidRDefault="004B54BA" w:rsidP="004B54BA">
      <w:r w:rsidRPr="00FF17EC">
        <w:t>The sharp decline of arrivals in Timis, followed by a partial recovery in the next years, compared with the much more limited losses suffered by the other counties and districts, signals the stronger integration of Timis in the international markets for tourism, and confirms that a large share of visitors to that area is represented by business travellers and tourists.</w:t>
      </w:r>
    </w:p>
    <w:p w:rsidR="004B54BA" w:rsidRPr="00FF17EC" w:rsidRDefault="004B54BA" w:rsidP="004B54BA">
      <w:r w:rsidRPr="00FF17EC">
        <w:t>In order to assess the role of the tourism services in the local economy, and to analyse</w:t>
      </w:r>
      <w:r w:rsidR="00634723" w:rsidRPr="00FF17EC">
        <w:t xml:space="preserve"> </w:t>
      </w:r>
      <w:r w:rsidRPr="00FF17EC">
        <w:t xml:space="preserve">the performance, some basic indicators have been calculated. </w:t>
      </w:r>
    </w:p>
    <w:p w:rsidR="004B54BA" w:rsidRPr="00FF17EC" w:rsidRDefault="004B54BA" w:rsidP="004B54BA">
      <w:r w:rsidRPr="00FF17EC">
        <w:t xml:space="preserve">The number of beds in tourism facilities per 1000 of inhabitants, can be used as very rough indicator of the relevance of the tourism sector in the eligible area (see graph below). </w:t>
      </w:r>
    </w:p>
    <w:p w:rsidR="004B54BA" w:rsidRPr="00FF17EC" w:rsidRDefault="004B54BA" w:rsidP="004B54BA">
      <w:pPr>
        <w:keepNext/>
        <w:spacing w:after="0"/>
      </w:pPr>
      <w:r w:rsidRPr="00FF17EC">
        <w:rPr>
          <w:noProof/>
          <w:lang w:eastAsia="en-GB"/>
        </w:rPr>
        <w:lastRenderedPageBreak/>
        <w:drawing>
          <wp:inline distT="0" distB="0" distL="0" distR="0">
            <wp:extent cx="4136694" cy="2681786"/>
            <wp:effectExtent l="19050" t="0" r="0" b="0"/>
            <wp:docPr id="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srcRect/>
                    <a:stretch>
                      <a:fillRect/>
                    </a:stretch>
                  </pic:blipFill>
                  <pic:spPr bwMode="auto">
                    <a:xfrm>
                      <a:off x="0" y="0"/>
                      <a:ext cx="4134356" cy="2680271"/>
                    </a:xfrm>
                    <a:prstGeom prst="rect">
                      <a:avLst/>
                    </a:prstGeom>
                    <a:noFill/>
                  </pic:spPr>
                </pic:pic>
              </a:graphicData>
            </a:graphic>
          </wp:inline>
        </w:drawing>
      </w:r>
    </w:p>
    <w:p w:rsidR="004B54BA" w:rsidRPr="00FF17EC" w:rsidRDefault="005C4AE7" w:rsidP="004B54BA">
      <w:pPr>
        <w:pStyle w:val="Caption"/>
        <w:rPr>
          <w:sz w:val="22"/>
        </w:rPr>
      </w:pPr>
      <w:r w:rsidRPr="00FF17EC">
        <w:rPr>
          <w:sz w:val="22"/>
        </w:rPr>
        <w:t>Graph 9</w:t>
      </w:r>
      <w:r w:rsidR="004B54BA" w:rsidRPr="00FF17EC">
        <w:rPr>
          <w:sz w:val="22"/>
        </w:rPr>
        <w:noBreakHyphen/>
      </w:r>
      <w:r w:rsidR="00085686" w:rsidRPr="00FF17EC">
        <w:rPr>
          <w:sz w:val="22"/>
        </w:rPr>
        <w:fldChar w:fldCharType="begin"/>
      </w:r>
      <w:r w:rsidR="004B54BA" w:rsidRPr="00FF17EC">
        <w:rPr>
          <w:sz w:val="22"/>
        </w:rPr>
        <w:instrText xml:space="preserve"> SEQ Graph_n. \* ARABIC \s 1 </w:instrText>
      </w:r>
      <w:r w:rsidR="00085686" w:rsidRPr="00FF17EC">
        <w:rPr>
          <w:sz w:val="22"/>
        </w:rPr>
        <w:fldChar w:fldCharType="separate"/>
      </w:r>
      <w:r w:rsidR="009737E5">
        <w:rPr>
          <w:noProof/>
          <w:sz w:val="22"/>
        </w:rPr>
        <w:t>2</w:t>
      </w:r>
      <w:r w:rsidR="00085686" w:rsidRPr="00FF17EC">
        <w:rPr>
          <w:sz w:val="22"/>
        </w:rPr>
        <w:fldChar w:fldCharType="end"/>
      </w:r>
      <w:r w:rsidR="004B54BA" w:rsidRPr="00FF17EC">
        <w:rPr>
          <w:sz w:val="22"/>
        </w:rPr>
        <w:t xml:space="preserve"> </w:t>
      </w:r>
      <w:r w:rsidR="004B54BA" w:rsidRPr="00FF17EC">
        <w:rPr>
          <w:color w:val="0070C0"/>
          <w:sz w:val="22"/>
        </w:rPr>
        <w:t>Specialization in tourism services</w:t>
      </w:r>
    </w:p>
    <w:p w:rsidR="004B54BA" w:rsidRPr="00FF17EC" w:rsidRDefault="004B54BA" w:rsidP="004B54BA">
      <w:r w:rsidRPr="00FF17EC">
        <w:t xml:space="preserve">According to this indicator the highest density of tourism activities (in relation to the population) is that of Caras Severin, and Borski in the Serbian Eligible area. In all other counties and districts the basic indicator of specialization is much lower than the National average, particularly in Serbia. </w:t>
      </w:r>
    </w:p>
    <w:p w:rsidR="004B54BA" w:rsidRPr="00FF17EC" w:rsidRDefault="004B54BA" w:rsidP="004B54BA">
      <w:r w:rsidRPr="00FF17EC">
        <w:t>The current performance of the tourist sector in the area has been analyzed using the indicator of occupancy rate of the tourist infrastructure, calculated as number of nights spent by tourists per bed available, compared to the maximum potential.</w:t>
      </w:r>
    </w:p>
    <w:p w:rsidR="004B54BA" w:rsidRPr="00FF17EC" w:rsidRDefault="004B54BA" w:rsidP="004B54BA">
      <w:r w:rsidRPr="00FF17EC">
        <w:t>Both Serbia and Romania present an occupancy rate below 30%, among the lowest in Europe</w:t>
      </w:r>
      <w:r w:rsidRPr="00FF17EC">
        <w:rPr>
          <w:rStyle w:val="FootnoteReference"/>
        </w:rPr>
        <w:footnoteReference w:id="51"/>
      </w:r>
      <w:r w:rsidRPr="00FF17EC">
        <w:t xml:space="preserve">. </w:t>
      </w:r>
    </w:p>
    <w:p w:rsidR="004B54BA" w:rsidRPr="00FF17EC" w:rsidRDefault="004B54BA" w:rsidP="004B54BA">
      <w:r w:rsidRPr="00FF17EC">
        <w:t>At least from this rough indicator, it seems possible to conclude that the tourism sector</w:t>
      </w:r>
      <w:r w:rsidR="00634723" w:rsidRPr="00FF17EC">
        <w:t xml:space="preserve"> </w:t>
      </w:r>
      <w:r w:rsidRPr="00FF17EC">
        <w:t>in the area is has difficulties in increasing the tourism demand sufficiently enough as to exploit the infrastructural asset available.</w:t>
      </w:r>
    </w:p>
    <w:p w:rsidR="004B54BA" w:rsidRPr="00FF17EC" w:rsidRDefault="004B54BA" w:rsidP="004B54BA">
      <w:r w:rsidRPr="00FF17EC">
        <w:t>In Caraș Severin, where it was observed the highest density of accommodation facilities in relation to the population, the occupancy indicator is even lower than in the other counties.</w:t>
      </w:r>
      <w:r w:rsidR="00634723" w:rsidRPr="00FF17EC">
        <w:t xml:space="preserve"> </w:t>
      </w:r>
    </w:p>
    <w:p w:rsidR="004B54BA" w:rsidRPr="00FF17EC" w:rsidRDefault="004B54BA" w:rsidP="004B54BA"/>
    <w:p w:rsidR="004B54BA" w:rsidRPr="00FF17EC" w:rsidRDefault="004B54BA" w:rsidP="004B54BA">
      <w:pPr>
        <w:keepNext/>
        <w:spacing w:after="0" w:line="240" w:lineRule="auto"/>
      </w:pPr>
      <w:r w:rsidRPr="00FF17EC">
        <w:rPr>
          <w:noProof/>
          <w:lang w:eastAsia="en-GB"/>
        </w:rPr>
        <w:lastRenderedPageBreak/>
        <w:drawing>
          <wp:inline distT="0" distB="0" distL="0" distR="0">
            <wp:extent cx="4430045" cy="3091218"/>
            <wp:effectExtent l="19050" t="0" r="8605" b="0"/>
            <wp:docPr id="1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srcRect/>
                    <a:stretch>
                      <a:fillRect/>
                    </a:stretch>
                  </pic:blipFill>
                  <pic:spPr bwMode="auto">
                    <a:xfrm>
                      <a:off x="0" y="0"/>
                      <a:ext cx="4434647" cy="3094429"/>
                    </a:xfrm>
                    <a:prstGeom prst="rect">
                      <a:avLst/>
                    </a:prstGeom>
                    <a:noFill/>
                  </pic:spPr>
                </pic:pic>
              </a:graphicData>
            </a:graphic>
          </wp:inline>
        </w:drawing>
      </w:r>
    </w:p>
    <w:p w:rsidR="004B54BA" w:rsidRPr="00FF17EC" w:rsidRDefault="004B54BA" w:rsidP="004B54BA">
      <w:pPr>
        <w:pStyle w:val="Caption"/>
        <w:rPr>
          <w:sz w:val="22"/>
        </w:rPr>
      </w:pPr>
      <w:r w:rsidRPr="00FF17EC">
        <w:rPr>
          <w:sz w:val="22"/>
        </w:rPr>
        <w:t xml:space="preserve">Graph </w:t>
      </w:r>
      <w:r w:rsidR="005C4AE7" w:rsidRPr="00FF17EC">
        <w:rPr>
          <w:sz w:val="22"/>
        </w:rPr>
        <w:t>9</w:t>
      </w:r>
      <w:r w:rsidRPr="00FF17EC">
        <w:rPr>
          <w:sz w:val="22"/>
        </w:rPr>
        <w:noBreakHyphen/>
      </w:r>
      <w:r w:rsidR="005C4AE7" w:rsidRPr="00FF17EC">
        <w:rPr>
          <w:color w:val="0070C0"/>
          <w:sz w:val="22"/>
        </w:rPr>
        <w:t>3</w:t>
      </w:r>
      <w:r w:rsidRPr="00FF17EC">
        <w:rPr>
          <w:color w:val="0070C0"/>
          <w:sz w:val="22"/>
        </w:rPr>
        <w:t xml:space="preserve"> Occupancy rate of tourism facilities</w:t>
      </w:r>
    </w:p>
    <w:p w:rsidR="004B54BA" w:rsidRPr="00FF17EC" w:rsidRDefault="004B54BA" w:rsidP="004B54BA"/>
    <w:p w:rsidR="004B54BA" w:rsidRPr="00FF17EC" w:rsidRDefault="004B54BA" w:rsidP="004B54BA">
      <w:r w:rsidRPr="00FF17EC">
        <w:t>The Srednje Banatski and Severno Banatski outperform the others, reaching an occupancy rate of 170 nights per year. Borski presents an average close to the national level in Serbia. In Romania, all counties present a relatively low level of the occupancy rate, including in Timis county, where the</w:t>
      </w:r>
      <w:r w:rsidR="00634723" w:rsidRPr="00FF17EC">
        <w:t xml:space="preserve"> </w:t>
      </w:r>
      <w:r w:rsidRPr="00FF17EC">
        <w:t>dominant form of tourism, that is related to business, could lead to expect a more efficient use of the tourism infrastructures.</w:t>
      </w:r>
    </w:p>
    <w:p w:rsidR="004B54BA" w:rsidRPr="00FF17EC" w:rsidRDefault="004B54BA" w:rsidP="004B54BA">
      <w:r w:rsidRPr="00FF17EC">
        <w:t>In Serbia the occupancy rate is almost constant all year-around, while in Romania there is a pick of arrivals in the summer season. However, this pick does not concern much the eligible area, since</w:t>
      </w:r>
      <w:r w:rsidR="00634723" w:rsidRPr="00FF17EC">
        <w:t xml:space="preserve"> </w:t>
      </w:r>
      <w:r w:rsidRPr="00FF17EC">
        <w:t>at national level the pick depends largely on the summer arrivals on the Black Sea coast.</w:t>
      </w:r>
    </w:p>
    <w:p w:rsidR="004B54BA" w:rsidRPr="00FF17EC" w:rsidRDefault="004B54BA" w:rsidP="004B54BA">
      <w:r w:rsidRPr="00FF17EC">
        <w:t>The forms of tourism where can be identified the highest potential for cross border actions seem those related to cultural tourism, eco tourism, and all those niche tourisms</w:t>
      </w:r>
      <w:r w:rsidR="00634723" w:rsidRPr="00FF17EC">
        <w:t xml:space="preserve"> </w:t>
      </w:r>
      <w:r w:rsidRPr="00FF17EC">
        <w:t>based on natural and cultural resources. The</w:t>
      </w:r>
      <w:r w:rsidR="00634723" w:rsidRPr="00FF17EC">
        <w:t xml:space="preserve"> </w:t>
      </w:r>
      <w:r w:rsidRPr="00FF17EC">
        <w:t>quality and quantity of resources available, and their distribution in the eligible area, lead to identify the main challenge in the creation of a common image of the area, a territorial brand capable to attract a significant flow of demand, and to exploit the synergy between the single tourism attractors.</w:t>
      </w:r>
    </w:p>
    <w:p w:rsidR="004B54BA" w:rsidRPr="00FF17EC" w:rsidRDefault="004B54BA" w:rsidP="004B54BA">
      <w:r w:rsidRPr="00FF17EC">
        <w:lastRenderedPageBreak/>
        <w:t>In the current programming period the programme partners generated a significant number of projects in the field of tourism, most of them of soft type, aiming to the promotion of</w:t>
      </w:r>
      <w:r w:rsidR="00634723" w:rsidRPr="00FF17EC">
        <w:t xml:space="preserve"> </w:t>
      </w:r>
      <w:r w:rsidRPr="00FF17EC">
        <w:t>attractiveness of touristic areas.</w:t>
      </w:r>
    </w:p>
    <w:p w:rsidR="004B54BA" w:rsidRPr="00FF17EC" w:rsidRDefault="004B54BA" w:rsidP="004B54BA"/>
    <w:p w:rsidR="004B54BA" w:rsidRPr="00FF17EC" w:rsidRDefault="004B54BA" w:rsidP="00A62261">
      <w:pPr>
        <w:pStyle w:val="Heading1"/>
      </w:pPr>
      <w:bookmarkStart w:id="109" w:name="_Toc378857150"/>
      <w:bookmarkStart w:id="110" w:name="_Toc383354420"/>
      <w:bookmarkStart w:id="111" w:name="_Toc383415724"/>
      <w:r w:rsidRPr="00FF17EC">
        <w:lastRenderedPageBreak/>
        <w:t>Education, research and innovation</w:t>
      </w:r>
      <w:bookmarkEnd w:id="109"/>
      <w:bookmarkEnd w:id="110"/>
      <w:bookmarkEnd w:id="111"/>
    </w:p>
    <w:tbl>
      <w:tblPr>
        <w:tblStyle w:val="TableGrid"/>
        <w:tblW w:w="0" w:type="auto"/>
        <w:tblLook w:val="04A0" w:firstRow="1" w:lastRow="0" w:firstColumn="1" w:lastColumn="0" w:noHBand="0" w:noVBand="1"/>
      </w:tblPr>
      <w:tblGrid>
        <w:gridCol w:w="9394"/>
      </w:tblGrid>
      <w:tr w:rsidR="004B54BA" w:rsidRPr="00FF17EC" w:rsidTr="004B54BA">
        <w:tc>
          <w:tcPr>
            <w:tcW w:w="9544" w:type="dxa"/>
          </w:tcPr>
          <w:p w:rsidR="004B54BA" w:rsidRPr="00FF17EC" w:rsidRDefault="004B54BA" w:rsidP="00013F0C">
            <w:pPr>
              <w:pStyle w:val="ListParagraph"/>
              <w:numPr>
                <w:ilvl w:val="0"/>
                <w:numId w:val="33"/>
              </w:numPr>
              <w:ind w:left="900" w:hanging="540"/>
            </w:pPr>
            <w:r w:rsidRPr="00FF17EC">
              <w:t>The educational system is experiencing intensive structural changes in both countries.</w:t>
            </w:r>
          </w:p>
          <w:p w:rsidR="004B54BA" w:rsidRPr="00FF17EC" w:rsidRDefault="004B54BA" w:rsidP="00013F0C">
            <w:pPr>
              <w:pStyle w:val="ListParagraph"/>
              <w:numPr>
                <w:ilvl w:val="0"/>
                <w:numId w:val="33"/>
              </w:numPr>
              <w:ind w:left="900" w:hanging="540"/>
            </w:pPr>
            <w:r w:rsidRPr="00FF17EC">
              <w:t>Basic primary and secondary education quantitatively adequate in the eligible area, limited differences pre-primary education, more developed in Romania.</w:t>
            </w:r>
          </w:p>
          <w:p w:rsidR="004B54BA" w:rsidRPr="00FF17EC" w:rsidRDefault="004B54BA" w:rsidP="00013F0C">
            <w:pPr>
              <w:pStyle w:val="ListParagraph"/>
              <w:numPr>
                <w:ilvl w:val="0"/>
                <w:numId w:val="33"/>
              </w:numPr>
              <w:ind w:left="900" w:hanging="540"/>
            </w:pPr>
            <w:r w:rsidRPr="00FF17EC">
              <w:t xml:space="preserve">The Programme Area presents an unequal distribution of higher education and research poles. </w:t>
            </w:r>
          </w:p>
          <w:p w:rsidR="004B54BA" w:rsidRPr="00FF17EC" w:rsidRDefault="004B54BA" w:rsidP="00013F0C">
            <w:pPr>
              <w:pStyle w:val="ListParagraph"/>
              <w:numPr>
                <w:ilvl w:val="0"/>
                <w:numId w:val="33"/>
              </w:numPr>
              <w:ind w:left="900" w:hanging="540"/>
            </w:pPr>
            <w:r w:rsidRPr="00FF17EC">
              <w:t>Private schools are growing in both countries, however limited statistical information is available.</w:t>
            </w:r>
          </w:p>
          <w:p w:rsidR="004B54BA" w:rsidRPr="00FF17EC" w:rsidRDefault="004B54BA" w:rsidP="00013F0C">
            <w:pPr>
              <w:pStyle w:val="ListParagraph"/>
              <w:numPr>
                <w:ilvl w:val="0"/>
                <w:numId w:val="33"/>
              </w:numPr>
              <w:ind w:left="900" w:hanging="540"/>
            </w:pPr>
            <w:r w:rsidRPr="00FF17EC">
              <w:t>In the North of the eligible area in Romania counties are located</w:t>
            </w:r>
            <w:r w:rsidR="00634723" w:rsidRPr="00FF17EC">
              <w:t xml:space="preserve"> </w:t>
            </w:r>
            <w:r w:rsidRPr="00FF17EC">
              <w:t xml:space="preserve">many university poles, with a national and international potential. </w:t>
            </w:r>
          </w:p>
          <w:p w:rsidR="004B54BA" w:rsidRPr="00FF17EC" w:rsidRDefault="004B54BA" w:rsidP="00013F0C">
            <w:pPr>
              <w:pStyle w:val="ListParagraph"/>
              <w:numPr>
                <w:ilvl w:val="0"/>
                <w:numId w:val="33"/>
              </w:numPr>
              <w:ind w:left="900" w:hanging="540"/>
            </w:pPr>
            <w:r w:rsidRPr="00FF17EC">
              <w:t xml:space="preserve">In Serbia there are no large university poles in the PA, but many are located close to the edge in the main urban poles, accessible to the local population. </w:t>
            </w:r>
          </w:p>
          <w:p w:rsidR="004B54BA" w:rsidRPr="00FF17EC" w:rsidRDefault="004B54BA" w:rsidP="00013F0C">
            <w:pPr>
              <w:pStyle w:val="ListParagraph"/>
              <w:numPr>
                <w:ilvl w:val="0"/>
                <w:numId w:val="33"/>
              </w:numPr>
              <w:ind w:left="900" w:hanging="540"/>
            </w:pPr>
            <w:r w:rsidRPr="00FF17EC">
              <w:t xml:space="preserve">Many research centres in the Romanian area, fewer in the Serbian side. </w:t>
            </w:r>
          </w:p>
          <w:p w:rsidR="004B54BA" w:rsidRPr="00FF17EC" w:rsidRDefault="004B54BA" w:rsidP="00013F0C">
            <w:pPr>
              <w:pStyle w:val="ListParagraph"/>
              <w:numPr>
                <w:ilvl w:val="0"/>
                <w:numId w:val="33"/>
              </w:numPr>
              <w:ind w:left="900" w:hanging="540"/>
            </w:pPr>
            <w:r w:rsidRPr="00FF17EC">
              <w:t>Common needs of improvement of the effectiveness and quality results of education.</w:t>
            </w:r>
          </w:p>
          <w:p w:rsidR="004B54BA" w:rsidRPr="00FF17EC" w:rsidRDefault="004B54BA" w:rsidP="00013F0C">
            <w:pPr>
              <w:pStyle w:val="ListParagraph"/>
              <w:numPr>
                <w:ilvl w:val="0"/>
                <w:numId w:val="33"/>
              </w:numPr>
              <w:ind w:left="900" w:hanging="540"/>
            </w:pPr>
            <w:r w:rsidRPr="00FF17EC">
              <w:t xml:space="preserve">Common needs of improvement of the access to education for disadvantaged groups. </w:t>
            </w:r>
          </w:p>
        </w:tc>
      </w:tr>
    </w:tbl>
    <w:p w:rsidR="004B54BA" w:rsidRPr="00FF17EC" w:rsidRDefault="004B54BA" w:rsidP="004B54BA"/>
    <w:p w:rsidR="004B54BA" w:rsidRPr="00FF17EC" w:rsidRDefault="004B54BA" w:rsidP="004B54BA">
      <w:pPr>
        <w:pStyle w:val="Heading3"/>
      </w:pPr>
      <w:r w:rsidRPr="00FF17EC">
        <w:t xml:space="preserve"> The Educational system</w:t>
      </w:r>
    </w:p>
    <w:p w:rsidR="004B54BA" w:rsidRPr="00FF17EC" w:rsidRDefault="004B54BA" w:rsidP="004B54BA">
      <w:r w:rsidRPr="00FF17EC">
        <w:t>Primary and secondary education institutions are present in the eligible area, at a quantitative level comparable to the National averages. In Serbia the number of employees in the primary and secondary school system is higher compared to the population than in Romania. And the number of students per each teacher is lower, below ten units</w:t>
      </w:r>
      <w:r w:rsidRPr="00FF17EC">
        <w:rPr>
          <w:rStyle w:val="FootnoteReference"/>
        </w:rPr>
        <w:footnoteReference w:id="52"/>
      </w:r>
      <w:r w:rsidRPr="00FF17EC">
        <w:t xml:space="preserve">. In Romania the best student/teacher ratio is in Timiș County. </w:t>
      </w:r>
    </w:p>
    <w:p w:rsidR="004B54BA" w:rsidRPr="00FF17EC" w:rsidRDefault="003436BC" w:rsidP="004B54BA">
      <w:r w:rsidRPr="00FF17EC">
        <w:rPr>
          <w:noProof/>
          <w:lang w:eastAsia="en-GB"/>
        </w:rPr>
        <w:lastRenderedPageBreak/>
        <w:drawing>
          <wp:inline distT="0" distB="0" distL="0" distR="0">
            <wp:extent cx="5114925" cy="3743325"/>
            <wp:effectExtent l="0" t="0" r="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4B54BA" w:rsidRPr="00FF17EC" w:rsidRDefault="004B54BA" w:rsidP="004B54BA">
      <w:pPr>
        <w:pStyle w:val="Caption"/>
      </w:pPr>
      <w:r w:rsidRPr="00FF17EC">
        <w:t xml:space="preserve">Graph </w:t>
      </w:r>
      <w:r w:rsidR="005C4AE7" w:rsidRPr="00FF17EC">
        <w:rPr>
          <w:bCs w:val="0"/>
        </w:rPr>
        <w:t>10</w:t>
      </w:r>
      <w:r w:rsidRPr="00FF17EC">
        <w:noBreakHyphen/>
      </w:r>
      <w:r w:rsidR="00085686" w:rsidRPr="00FF17EC">
        <w:rPr>
          <w:bCs w:val="0"/>
        </w:rPr>
        <w:fldChar w:fldCharType="begin"/>
      </w:r>
      <w:r w:rsidRPr="00FF17EC">
        <w:rPr>
          <w:bCs w:val="0"/>
        </w:rPr>
        <w:instrText xml:space="preserve"> SEQ Graph \* ARABIC \s 1 </w:instrText>
      </w:r>
      <w:r w:rsidR="00085686" w:rsidRPr="00FF17EC">
        <w:rPr>
          <w:bCs w:val="0"/>
        </w:rPr>
        <w:fldChar w:fldCharType="separate"/>
      </w:r>
      <w:r w:rsidR="009737E5">
        <w:rPr>
          <w:bCs w:val="0"/>
          <w:noProof/>
        </w:rPr>
        <w:t>1</w:t>
      </w:r>
      <w:r w:rsidR="00085686" w:rsidRPr="00FF17EC">
        <w:rPr>
          <w:bCs w:val="0"/>
        </w:rPr>
        <w:fldChar w:fldCharType="end"/>
      </w:r>
      <w:r w:rsidRPr="00FF17EC">
        <w:rPr>
          <w:bCs w:val="0"/>
        </w:rPr>
        <w:t xml:space="preserve"> Indicators of educational services (NIS Romania and Serbia)</w:t>
      </w:r>
    </w:p>
    <w:p w:rsidR="004B54BA" w:rsidRPr="00FF17EC" w:rsidRDefault="004B54BA" w:rsidP="004B54BA">
      <w:r w:rsidRPr="00FF17EC">
        <w:t>In both areas the educational system has experienced substantial structural evolutions, because of the administrative and political reforms, and the demographic change. In the eligible area, following the demographic decline, the number of students in primary and secondary schools has declined regularly. In Romania, the decline has been more intensive in professional schools balanced by a growth of enrolments in the lyceums.</w:t>
      </w:r>
    </w:p>
    <w:p w:rsidR="004B54BA" w:rsidRPr="00FF17EC" w:rsidRDefault="004B54BA" w:rsidP="004B54BA">
      <w:r w:rsidRPr="00FF17EC">
        <w:t>Higher education institutions are present in the eligible area, but the territorial distribution of the offer is asymmetric, in the Romanian territory there are five large</w:t>
      </w:r>
      <w:r w:rsidR="00634723" w:rsidRPr="00FF17EC">
        <w:t xml:space="preserve"> </w:t>
      </w:r>
      <w:r w:rsidRPr="00FF17EC">
        <w:t>universities, in the Serbian area there are in Bor a Technical Faculty as branch of the University of Belgrade, in Vršac there is a research centre connected with Hemofarm industry. Also there are various newly established private educational facilities at the eligible area. In fact the access to university institutions by the local population is not as unequal as this locations could suggest, because in Serbia the population has easy access to the University poles located at the borders of the eligible area, in Belgrad, Novi Sad, Niš.</w:t>
      </w:r>
    </w:p>
    <w:p w:rsidR="004B54BA" w:rsidRPr="00FF17EC" w:rsidRDefault="004B54BA" w:rsidP="004B54BA">
      <w:r w:rsidRPr="00FF17EC">
        <w:lastRenderedPageBreak/>
        <w:t xml:space="preserve">In the Romanian eligible area there are 5 public universities, largely concentrated in Timiș, as in Timiș County there are 4 public universities (Universitatea Politehnica din Timișoara, Universitatea de Vest Timișoara, Universitatea de Științe Agricole și Medicină Veterinară a Banatului Timisoara, Universitatea de Medicină și Farmacie Victor Babes Timișoara). In Caraș-Severin County there is one public university (Universitatea Eftimie Murgu Reșița) and in Mehedinți there are no higher education institutions. </w:t>
      </w:r>
    </w:p>
    <w:p w:rsidR="004B54BA" w:rsidRPr="00FF17EC" w:rsidRDefault="004B54BA" w:rsidP="004B54BA">
      <w:r w:rsidRPr="00FF17EC">
        <w:t>In the Serbian districts there are fewer public higher education institution, one is the</w:t>
      </w:r>
      <w:r w:rsidR="00634723" w:rsidRPr="00FF17EC">
        <w:t xml:space="preserve"> </w:t>
      </w:r>
      <w:r w:rsidRPr="00FF17EC">
        <w:t xml:space="preserve">Mihajlo Pupin" Technical Faculty in Zrenjanin, connected to Novi Sad, also, in Bor there is a Technical Faculty as branch of the University of Belgrade. </w:t>
      </w:r>
    </w:p>
    <w:p w:rsidR="004B54BA" w:rsidRPr="00FF17EC" w:rsidRDefault="004B54BA" w:rsidP="004B54BA">
      <w:r w:rsidRPr="00FF17EC">
        <w:t>However, the accessibility of university centres is much more homogenous</w:t>
      </w:r>
      <w:r w:rsidR="00634723" w:rsidRPr="00FF17EC">
        <w:t xml:space="preserve"> </w:t>
      </w:r>
      <w:r w:rsidRPr="00FF17EC">
        <w:t>in the eligible area, than the location of centre just described.</w:t>
      </w:r>
    </w:p>
    <w:p w:rsidR="004B54BA" w:rsidRPr="00FF17EC" w:rsidRDefault="004B54BA" w:rsidP="004B54BA">
      <w:r w:rsidRPr="00FF17EC">
        <w:t>In fact</w:t>
      </w:r>
      <w:r w:rsidR="00634723" w:rsidRPr="00FF17EC">
        <w:t xml:space="preserve"> </w:t>
      </w:r>
      <w:r w:rsidRPr="00FF17EC">
        <w:t xml:space="preserve">the Serbian students can access at a reasonable distance four of the largest universities in Serbia, in Belgrade, Niš, Kragujevac and Novi Sad. </w:t>
      </w:r>
    </w:p>
    <w:p w:rsidR="004B54BA" w:rsidRPr="00FF17EC" w:rsidRDefault="004B54BA" w:rsidP="004B54BA">
      <w:r w:rsidRPr="00FF17EC">
        <w:t xml:space="preserve">All over the eligible area the sector of private schools, in particular high schools and universities, is growing at a fast pace, according to the local stakeholders. Some examples are the Tibiscus University, private, in Timisoara, with faculties of informatics and design, and the Mihai Eminescu University , Timisoara (tourism and social studies); </w:t>
      </w:r>
    </w:p>
    <w:p w:rsidR="004B54BA" w:rsidRPr="00FF17EC" w:rsidRDefault="004B54BA" w:rsidP="004B54BA">
      <w:r w:rsidRPr="00FF17EC">
        <w:t xml:space="preserve">In Drobeta, the Universitary Centre Drobeta Turnu-Severin, a branch of the University of Craiova- (developed by merging the old private University Gheorghe Anghel in 2004), includes 5 faculties / colleges. </w:t>
      </w:r>
    </w:p>
    <w:p w:rsidR="004B54BA" w:rsidRPr="00FF17EC" w:rsidRDefault="004B54BA" w:rsidP="004B54BA">
      <w:r w:rsidRPr="00FF17EC">
        <w:t>According to the available statistics, the</w:t>
      </w:r>
      <w:r w:rsidR="00634723" w:rsidRPr="00FF17EC">
        <w:t xml:space="preserve"> </w:t>
      </w:r>
      <w:r w:rsidRPr="00FF17EC">
        <w:t xml:space="preserve">share of population with university degrees is similar, ranging from the maximum of Timis county to the minimum in Braniceski. This indicator is less than half of the EU average. </w:t>
      </w:r>
    </w:p>
    <w:tbl>
      <w:tblPr>
        <w:tblW w:w="7860" w:type="dxa"/>
        <w:jc w:val="center"/>
        <w:tblCellMar>
          <w:left w:w="70" w:type="dxa"/>
          <w:right w:w="70" w:type="dxa"/>
        </w:tblCellMar>
        <w:tblLook w:val="04A0" w:firstRow="1" w:lastRow="0" w:firstColumn="1" w:lastColumn="0" w:noHBand="0" w:noVBand="1"/>
      </w:tblPr>
      <w:tblGrid>
        <w:gridCol w:w="1920"/>
        <w:gridCol w:w="1540"/>
        <w:gridCol w:w="1400"/>
        <w:gridCol w:w="1500"/>
        <w:gridCol w:w="1500"/>
      </w:tblGrid>
      <w:tr w:rsidR="004B54BA" w:rsidRPr="00FF17EC" w:rsidTr="004B54BA">
        <w:trPr>
          <w:trHeight w:val="270"/>
          <w:jc w:val="center"/>
        </w:trPr>
        <w:tc>
          <w:tcPr>
            <w:tcW w:w="7860" w:type="dxa"/>
            <w:gridSpan w:val="5"/>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lastRenderedPageBreak/>
              <w:t>Population per education attainment in 2011(Eurostat, NIS Serbia, Romania)</w:t>
            </w:r>
          </w:p>
        </w:tc>
      </w:tr>
      <w:tr w:rsidR="004B54BA" w:rsidRPr="00FF17EC" w:rsidTr="004B54BA">
        <w:trPr>
          <w:trHeight w:val="405"/>
          <w:jc w:val="center"/>
        </w:trPr>
        <w:tc>
          <w:tcPr>
            <w:tcW w:w="1920"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w:t>
            </w:r>
          </w:p>
        </w:tc>
        <w:tc>
          <w:tcPr>
            <w:tcW w:w="294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B54BA" w:rsidRPr="00FF17EC" w:rsidRDefault="004B54BA" w:rsidP="004B54BA">
            <w:pPr>
              <w:keepNext/>
              <w:spacing w:after="0" w:line="240" w:lineRule="auto"/>
              <w:jc w:val="center"/>
              <w:rPr>
                <w:rFonts w:cs="Times New Roman"/>
                <w:color w:val="000000"/>
                <w:lang w:val="en-US" w:eastAsia="it-IT"/>
              </w:rPr>
            </w:pPr>
            <w:r w:rsidRPr="00FF17EC">
              <w:rPr>
                <w:rFonts w:cs="Times New Roman"/>
                <w:color w:val="000000"/>
                <w:lang w:val="en-US" w:eastAsia="it-IT"/>
              </w:rPr>
              <w:t xml:space="preserve">Inhabitants with: </w:t>
            </w:r>
          </w:p>
        </w:tc>
        <w:tc>
          <w:tcPr>
            <w:tcW w:w="3000" w:type="dxa"/>
            <w:gridSpan w:val="2"/>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center"/>
              <w:rPr>
                <w:rFonts w:cs="Times New Roman"/>
                <w:color w:val="000000"/>
                <w:lang w:val="en-US" w:eastAsia="it-IT"/>
              </w:rPr>
            </w:pPr>
            <w:r w:rsidRPr="00FF17EC">
              <w:rPr>
                <w:rFonts w:cs="Times New Roman"/>
                <w:color w:val="000000"/>
                <w:lang w:val="en-US" w:eastAsia="it-IT"/>
              </w:rPr>
              <w:t>% on total Inhabitants</w:t>
            </w:r>
          </w:p>
        </w:tc>
      </w:tr>
      <w:tr w:rsidR="004B54BA" w:rsidRPr="00FF17EC" w:rsidTr="004B54BA">
        <w:trPr>
          <w:trHeight w:val="675"/>
          <w:jc w:val="center"/>
        </w:trPr>
        <w:tc>
          <w:tcPr>
            <w:tcW w:w="1920"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 </w:t>
            </w:r>
          </w:p>
        </w:tc>
        <w:tc>
          <w:tcPr>
            <w:tcW w:w="1540" w:type="dxa"/>
            <w:tcBorders>
              <w:top w:val="nil"/>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University education</w:t>
            </w:r>
          </w:p>
        </w:tc>
        <w:tc>
          <w:tcPr>
            <w:tcW w:w="1400" w:type="dxa"/>
            <w:tcBorders>
              <w:top w:val="nil"/>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Higher education</w:t>
            </w:r>
          </w:p>
        </w:tc>
        <w:tc>
          <w:tcPr>
            <w:tcW w:w="1500" w:type="dxa"/>
            <w:tcBorders>
              <w:top w:val="nil"/>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University education</w:t>
            </w:r>
          </w:p>
        </w:tc>
        <w:tc>
          <w:tcPr>
            <w:tcW w:w="1500" w:type="dxa"/>
            <w:tcBorders>
              <w:top w:val="nil"/>
              <w:left w:val="nil"/>
              <w:bottom w:val="single" w:sz="4" w:space="0" w:color="auto"/>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Higher education</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Timiş</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119213</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410356</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17%</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lang w:val="en-US" w:eastAsia="it-IT"/>
              </w:rPr>
            </w:pPr>
            <w:r w:rsidRPr="00FF17EC">
              <w:rPr>
                <w:rFonts w:cs="Times New Roman"/>
                <w:lang w:val="en-US" w:eastAsia="it-IT"/>
              </w:rPr>
              <w:t>60%</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Caraş-Severin</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29142</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183595</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10%</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lang w:val="en-US" w:eastAsia="it-IT"/>
              </w:rPr>
            </w:pPr>
            <w:r w:rsidRPr="00FF17EC">
              <w:rPr>
                <w:rFonts w:cs="Times New Roman"/>
                <w:lang w:val="en-US" w:eastAsia="it-IT"/>
              </w:rPr>
              <w:t>62%</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Mehedinţi</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25694</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158488</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10%</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lang w:val="en-US" w:eastAsia="it-IT"/>
              </w:rPr>
            </w:pPr>
            <w:r w:rsidRPr="00FF17EC">
              <w:rPr>
                <w:rFonts w:cs="Times New Roman"/>
                <w:lang w:val="en-US" w:eastAsia="it-IT"/>
              </w:rPr>
              <w:t>60%</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ROMANIA</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2591021</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11759627</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12%</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lang w:val="en-US" w:eastAsia="it-IT"/>
              </w:rPr>
            </w:pPr>
            <w:r w:rsidRPr="00FF17EC">
              <w:rPr>
                <w:rFonts w:cs="Times New Roman"/>
                <w:lang w:val="en-US" w:eastAsia="it-IT"/>
              </w:rPr>
              <w:t>55%</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Severno-Banatski</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13683</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59420</w:t>
            </w:r>
          </w:p>
        </w:tc>
        <w:tc>
          <w:tcPr>
            <w:tcW w:w="1500" w:type="dxa"/>
            <w:tcBorders>
              <w:top w:val="nil"/>
              <w:left w:val="nil"/>
              <w:bottom w:val="nil"/>
              <w:right w:val="nil"/>
            </w:tcBorders>
            <w:shd w:val="clear" w:color="auto" w:fill="auto"/>
            <w:noWrap/>
            <w:vAlign w:val="bottom"/>
            <w:hideMark/>
          </w:tcPr>
          <w:p w:rsidR="004B54BA" w:rsidRPr="00FF17EC" w:rsidRDefault="00736397"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9</w:t>
            </w:r>
            <w:r w:rsidR="004B54BA" w:rsidRPr="00FF17EC">
              <w:rPr>
                <w:rFonts w:cs="Times New Roman"/>
                <w:color w:val="000000"/>
                <w:lang w:val="en-US" w:eastAsia="it-IT"/>
              </w:rPr>
              <w:t>%</w:t>
            </w:r>
          </w:p>
        </w:tc>
        <w:tc>
          <w:tcPr>
            <w:tcW w:w="1500" w:type="dxa"/>
            <w:tcBorders>
              <w:top w:val="nil"/>
              <w:left w:val="nil"/>
              <w:bottom w:val="nil"/>
              <w:right w:val="nil"/>
            </w:tcBorders>
            <w:shd w:val="clear" w:color="auto" w:fill="auto"/>
            <w:noWrap/>
            <w:vAlign w:val="bottom"/>
            <w:hideMark/>
          </w:tcPr>
          <w:p w:rsidR="004B54BA" w:rsidRPr="00FF17EC" w:rsidRDefault="00736397" w:rsidP="004B54BA">
            <w:pPr>
              <w:keepNext/>
              <w:spacing w:after="0" w:line="240" w:lineRule="auto"/>
              <w:jc w:val="right"/>
              <w:rPr>
                <w:rFonts w:cs="Times New Roman"/>
                <w:lang w:val="en-US" w:eastAsia="it-IT"/>
              </w:rPr>
            </w:pPr>
            <w:r w:rsidRPr="00FF17EC">
              <w:rPr>
                <w:rFonts w:cs="Times New Roman"/>
                <w:lang w:val="en-US" w:eastAsia="it-IT"/>
              </w:rPr>
              <w:t>40</w:t>
            </w:r>
            <w:r w:rsidR="004B54BA" w:rsidRPr="00FF17EC">
              <w:rPr>
                <w:rFonts w:cs="Times New Roman"/>
                <w:lang w:val="en-US" w:eastAsia="it-IT"/>
              </w:rPr>
              <w:t>%</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Srednje-Banatski</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20055</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79903</w:t>
            </w:r>
          </w:p>
        </w:tc>
        <w:tc>
          <w:tcPr>
            <w:tcW w:w="1500" w:type="dxa"/>
            <w:tcBorders>
              <w:top w:val="nil"/>
              <w:left w:val="nil"/>
              <w:bottom w:val="nil"/>
              <w:right w:val="nil"/>
            </w:tcBorders>
            <w:shd w:val="clear" w:color="auto" w:fill="auto"/>
            <w:noWrap/>
            <w:vAlign w:val="bottom"/>
            <w:hideMark/>
          </w:tcPr>
          <w:p w:rsidR="004B54BA" w:rsidRPr="00FF17EC" w:rsidRDefault="004B54BA" w:rsidP="00736397">
            <w:pPr>
              <w:keepNext/>
              <w:spacing w:after="0" w:line="240" w:lineRule="auto"/>
              <w:jc w:val="right"/>
              <w:rPr>
                <w:rFonts w:cs="Times New Roman"/>
                <w:color w:val="000000"/>
                <w:lang w:val="en-US" w:eastAsia="it-IT"/>
              </w:rPr>
            </w:pPr>
            <w:r w:rsidRPr="00FF17EC">
              <w:rPr>
                <w:rFonts w:cs="Times New Roman"/>
                <w:color w:val="000000"/>
                <w:lang w:val="en-US" w:eastAsia="it-IT"/>
              </w:rPr>
              <w:t>1</w:t>
            </w:r>
            <w:r w:rsidR="00736397" w:rsidRPr="00FF17EC">
              <w:rPr>
                <w:rFonts w:cs="Times New Roman"/>
                <w:color w:val="000000"/>
                <w:lang w:val="en-US" w:eastAsia="it-IT"/>
              </w:rPr>
              <w:t>1</w:t>
            </w:r>
            <w:r w:rsidRPr="00FF17EC">
              <w:rPr>
                <w:rFonts w:cs="Times New Roman"/>
                <w:color w:val="000000"/>
                <w:lang w:val="en-US" w:eastAsia="it-IT"/>
              </w:rPr>
              <w:t>%</w:t>
            </w:r>
          </w:p>
        </w:tc>
        <w:tc>
          <w:tcPr>
            <w:tcW w:w="1500" w:type="dxa"/>
            <w:tcBorders>
              <w:top w:val="nil"/>
              <w:left w:val="nil"/>
              <w:bottom w:val="nil"/>
              <w:right w:val="nil"/>
            </w:tcBorders>
            <w:shd w:val="clear" w:color="auto" w:fill="auto"/>
            <w:noWrap/>
            <w:vAlign w:val="bottom"/>
            <w:hideMark/>
          </w:tcPr>
          <w:p w:rsidR="004B54BA" w:rsidRPr="00FF17EC" w:rsidRDefault="00736397" w:rsidP="004B54BA">
            <w:pPr>
              <w:keepNext/>
              <w:spacing w:after="0" w:line="240" w:lineRule="auto"/>
              <w:jc w:val="right"/>
              <w:rPr>
                <w:rFonts w:cs="Times New Roman"/>
                <w:lang w:val="en-US" w:eastAsia="it-IT"/>
              </w:rPr>
            </w:pPr>
            <w:r w:rsidRPr="00FF17EC">
              <w:rPr>
                <w:rFonts w:cs="Times New Roman"/>
                <w:lang w:val="en-US" w:eastAsia="it-IT"/>
              </w:rPr>
              <w:t>43</w:t>
            </w:r>
            <w:r w:rsidR="004B54BA" w:rsidRPr="00FF17EC">
              <w:rPr>
                <w:rFonts w:cs="Times New Roman"/>
                <w:lang w:val="en-US" w:eastAsia="it-IT"/>
              </w:rPr>
              <w:t>%</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Južno-Banatski</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30386</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123955</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10%</w:t>
            </w:r>
          </w:p>
        </w:tc>
        <w:tc>
          <w:tcPr>
            <w:tcW w:w="1500" w:type="dxa"/>
            <w:tcBorders>
              <w:top w:val="nil"/>
              <w:left w:val="nil"/>
              <w:bottom w:val="nil"/>
              <w:right w:val="nil"/>
            </w:tcBorders>
            <w:shd w:val="clear" w:color="auto" w:fill="auto"/>
            <w:noWrap/>
            <w:vAlign w:val="bottom"/>
            <w:hideMark/>
          </w:tcPr>
          <w:p w:rsidR="004B54BA" w:rsidRPr="00FF17EC" w:rsidRDefault="00736397" w:rsidP="004B54BA">
            <w:pPr>
              <w:keepNext/>
              <w:spacing w:after="0" w:line="240" w:lineRule="auto"/>
              <w:jc w:val="right"/>
              <w:rPr>
                <w:rFonts w:cs="Times New Roman"/>
                <w:lang w:val="en-US" w:eastAsia="it-IT"/>
              </w:rPr>
            </w:pPr>
            <w:r w:rsidRPr="00FF17EC">
              <w:rPr>
                <w:rFonts w:cs="Times New Roman"/>
                <w:lang w:val="en-US" w:eastAsia="it-IT"/>
              </w:rPr>
              <w:t>42</w:t>
            </w:r>
            <w:r w:rsidR="004B54BA" w:rsidRPr="00FF17EC">
              <w:rPr>
                <w:rFonts w:cs="Times New Roman"/>
                <w:lang w:val="en-US" w:eastAsia="it-IT"/>
              </w:rPr>
              <w:t>%</w:t>
            </w:r>
          </w:p>
        </w:tc>
      </w:tr>
      <w:tr w:rsidR="003436BC" w:rsidRPr="00FF17EC" w:rsidTr="004B54BA">
        <w:trPr>
          <w:trHeight w:val="283"/>
          <w:jc w:val="center"/>
        </w:trPr>
        <w:tc>
          <w:tcPr>
            <w:tcW w:w="1920" w:type="dxa"/>
            <w:tcBorders>
              <w:top w:val="nil"/>
              <w:left w:val="nil"/>
              <w:bottom w:val="nil"/>
              <w:right w:val="nil"/>
            </w:tcBorders>
            <w:shd w:val="clear" w:color="auto" w:fill="auto"/>
            <w:vAlign w:val="bottom"/>
          </w:tcPr>
          <w:p w:rsidR="003436BC" w:rsidRPr="00FF17EC" w:rsidRDefault="003436BC"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Podunavski</w:t>
            </w:r>
          </w:p>
        </w:tc>
        <w:tc>
          <w:tcPr>
            <w:tcW w:w="1540" w:type="dxa"/>
            <w:tcBorders>
              <w:top w:val="nil"/>
              <w:left w:val="nil"/>
              <w:bottom w:val="nil"/>
              <w:right w:val="nil"/>
            </w:tcBorders>
            <w:shd w:val="clear" w:color="auto" w:fill="auto"/>
            <w:noWrap/>
            <w:vAlign w:val="bottom"/>
          </w:tcPr>
          <w:p w:rsidR="003436BC" w:rsidRPr="00FF17EC" w:rsidRDefault="00656624"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17915</w:t>
            </w:r>
          </w:p>
        </w:tc>
        <w:tc>
          <w:tcPr>
            <w:tcW w:w="1400" w:type="dxa"/>
            <w:tcBorders>
              <w:top w:val="nil"/>
              <w:left w:val="nil"/>
              <w:bottom w:val="nil"/>
              <w:right w:val="nil"/>
            </w:tcBorders>
            <w:shd w:val="clear" w:color="auto" w:fill="auto"/>
            <w:noWrap/>
            <w:vAlign w:val="bottom"/>
          </w:tcPr>
          <w:p w:rsidR="003436BC" w:rsidRPr="00FF17EC" w:rsidRDefault="00656624"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81805</w:t>
            </w:r>
          </w:p>
        </w:tc>
        <w:tc>
          <w:tcPr>
            <w:tcW w:w="1500" w:type="dxa"/>
            <w:tcBorders>
              <w:top w:val="nil"/>
              <w:left w:val="nil"/>
              <w:bottom w:val="nil"/>
              <w:right w:val="nil"/>
            </w:tcBorders>
            <w:shd w:val="clear" w:color="auto" w:fill="auto"/>
            <w:noWrap/>
            <w:vAlign w:val="bottom"/>
          </w:tcPr>
          <w:p w:rsidR="003436BC" w:rsidRPr="00FF17EC" w:rsidRDefault="00736397"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9%</w:t>
            </w:r>
          </w:p>
        </w:tc>
        <w:tc>
          <w:tcPr>
            <w:tcW w:w="1500" w:type="dxa"/>
            <w:tcBorders>
              <w:top w:val="nil"/>
              <w:left w:val="nil"/>
              <w:bottom w:val="nil"/>
              <w:right w:val="nil"/>
            </w:tcBorders>
            <w:shd w:val="clear" w:color="auto" w:fill="auto"/>
            <w:noWrap/>
            <w:vAlign w:val="bottom"/>
          </w:tcPr>
          <w:p w:rsidR="003436BC" w:rsidRPr="00FF17EC" w:rsidRDefault="00736397" w:rsidP="004B54BA">
            <w:pPr>
              <w:keepNext/>
              <w:spacing w:after="0" w:line="240" w:lineRule="auto"/>
              <w:jc w:val="right"/>
              <w:rPr>
                <w:rFonts w:cs="Times New Roman"/>
                <w:lang w:val="en-US" w:eastAsia="it-IT"/>
              </w:rPr>
            </w:pPr>
            <w:r w:rsidRPr="00FF17EC">
              <w:rPr>
                <w:rFonts w:cs="Times New Roman"/>
                <w:lang w:val="en-US" w:eastAsia="it-IT"/>
              </w:rPr>
              <w:t>41%</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Braničevski</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13456</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56692</w:t>
            </w:r>
          </w:p>
        </w:tc>
        <w:tc>
          <w:tcPr>
            <w:tcW w:w="15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7%</w:t>
            </w:r>
          </w:p>
        </w:tc>
        <w:tc>
          <w:tcPr>
            <w:tcW w:w="1500" w:type="dxa"/>
            <w:tcBorders>
              <w:top w:val="nil"/>
              <w:left w:val="nil"/>
              <w:bottom w:val="nil"/>
              <w:right w:val="nil"/>
            </w:tcBorders>
            <w:shd w:val="clear" w:color="auto" w:fill="auto"/>
            <w:noWrap/>
            <w:vAlign w:val="bottom"/>
            <w:hideMark/>
          </w:tcPr>
          <w:p w:rsidR="004B54BA" w:rsidRPr="00FF17EC" w:rsidRDefault="00736397" w:rsidP="004B54BA">
            <w:pPr>
              <w:keepNext/>
              <w:spacing w:after="0" w:line="240" w:lineRule="auto"/>
              <w:jc w:val="right"/>
              <w:rPr>
                <w:rFonts w:cs="Times New Roman"/>
                <w:lang w:val="en-US" w:eastAsia="it-IT"/>
              </w:rPr>
            </w:pPr>
            <w:r w:rsidRPr="00FF17EC">
              <w:rPr>
                <w:rFonts w:cs="Times New Roman"/>
                <w:lang w:val="en-US" w:eastAsia="it-IT"/>
              </w:rPr>
              <w:t>31</w:t>
            </w:r>
            <w:r w:rsidR="004B54BA" w:rsidRPr="00FF17EC">
              <w:rPr>
                <w:rFonts w:cs="Times New Roman"/>
                <w:lang w:val="en-US" w:eastAsia="it-IT"/>
              </w:rPr>
              <w:t>%</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Borski</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11561</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45831</w:t>
            </w:r>
          </w:p>
        </w:tc>
        <w:tc>
          <w:tcPr>
            <w:tcW w:w="1500" w:type="dxa"/>
            <w:tcBorders>
              <w:top w:val="nil"/>
              <w:left w:val="nil"/>
              <w:bottom w:val="nil"/>
              <w:right w:val="nil"/>
            </w:tcBorders>
            <w:shd w:val="clear" w:color="auto" w:fill="auto"/>
            <w:noWrap/>
            <w:vAlign w:val="bottom"/>
            <w:hideMark/>
          </w:tcPr>
          <w:p w:rsidR="004B54BA" w:rsidRPr="00FF17EC" w:rsidRDefault="00736397"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9</w:t>
            </w:r>
            <w:r w:rsidR="004B54BA" w:rsidRPr="00FF17EC">
              <w:rPr>
                <w:rFonts w:cs="Times New Roman"/>
                <w:color w:val="000000"/>
                <w:lang w:val="en-US" w:eastAsia="it-IT"/>
              </w:rPr>
              <w:t>%</w:t>
            </w:r>
          </w:p>
        </w:tc>
        <w:tc>
          <w:tcPr>
            <w:tcW w:w="1500" w:type="dxa"/>
            <w:tcBorders>
              <w:top w:val="nil"/>
              <w:left w:val="nil"/>
              <w:bottom w:val="nil"/>
              <w:right w:val="nil"/>
            </w:tcBorders>
            <w:shd w:val="clear" w:color="auto" w:fill="auto"/>
            <w:noWrap/>
            <w:vAlign w:val="bottom"/>
            <w:hideMark/>
          </w:tcPr>
          <w:p w:rsidR="004B54BA" w:rsidRPr="00FF17EC" w:rsidRDefault="004B54BA" w:rsidP="00736397">
            <w:pPr>
              <w:keepNext/>
              <w:spacing w:after="0" w:line="240" w:lineRule="auto"/>
              <w:jc w:val="right"/>
              <w:rPr>
                <w:rFonts w:cs="Times New Roman"/>
                <w:lang w:val="en-US" w:eastAsia="it-IT"/>
              </w:rPr>
            </w:pPr>
            <w:r w:rsidRPr="00FF17EC">
              <w:rPr>
                <w:rFonts w:cs="Times New Roman"/>
                <w:lang w:val="en-US" w:eastAsia="it-IT"/>
              </w:rPr>
              <w:t>3</w:t>
            </w:r>
            <w:r w:rsidR="00736397" w:rsidRPr="00FF17EC">
              <w:rPr>
                <w:rFonts w:cs="Times New Roman"/>
                <w:lang w:val="en-US" w:eastAsia="it-IT"/>
              </w:rPr>
              <w:t>7</w:t>
            </w:r>
            <w:r w:rsidRPr="00FF17EC">
              <w:rPr>
                <w:rFonts w:cs="Times New Roman"/>
                <w:lang w:val="en-US" w:eastAsia="it-IT"/>
              </w:rPr>
              <w:t>%</w:t>
            </w:r>
          </w:p>
        </w:tc>
      </w:tr>
      <w:tr w:rsidR="004B54BA" w:rsidRPr="00FF17EC" w:rsidTr="004B54BA">
        <w:trPr>
          <w:trHeight w:val="283"/>
          <w:jc w:val="center"/>
        </w:trPr>
        <w:tc>
          <w:tcPr>
            <w:tcW w:w="1920" w:type="dxa"/>
            <w:tcBorders>
              <w:top w:val="nil"/>
              <w:left w:val="nil"/>
              <w:bottom w:val="nil"/>
              <w:right w:val="nil"/>
            </w:tcBorders>
            <w:shd w:val="clear" w:color="auto" w:fill="auto"/>
            <w:vAlign w:val="bottom"/>
            <w:hideMark/>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SERBIA</w:t>
            </w:r>
          </w:p>
        </w:tc>
        <w:tc>
          <w:tcPr>
            <w:tcW w:w="154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1000569</w:t>
            </w:r>
          </w:p>
        </w:tc>
        <w:tc>
          <w:tcPr>
            <w:tcW w:w="1400"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3015092</w:t>
            </w:r>
          </w:p>
        </w:tc>
        <w:tc>
          <w:tcPr>
            <w:tcW w:w="1500" w:type="dxa"/>
            <w:tcBorders>
              <w:top w:val="nil"/>
              <w:left w:val="nil"/>
              <w:bottom w:val="nil"/>
              <w:right w:val="nil"/>
            </w:tcBorders>
            <w:shd w:val="clear" w:color="auto" w:fill="auto"/>
            <w:noWrap/>
            <w:vAlign w:val="bottom"/>
            <w:hideMark/>
          </w:tcPr>
          <w:p w:rsidR="004B54BA" w:rsidRPr="00FF17EC" w:rsidRDefault="004B54BA" w:rsidP="00736397">
            <w:pPr>
              <w:keepNext/>
              <w:spacing w:after="0" w:line="240" w:lineRule="auto"/>
              <w:jc w:val="right"/>
              <w:rPr>
                <w:rFonts w:cs="Times New Roman"/>
                <w:color w:val="000000"/>
                <w:lang w:val="en-US" w:eastAsia="it-IT"/>
              </w:rPr>
            </w:pPr>
            <w:r w:rsidRPr="00FF17EC">
              <w:rPr>
                <w:rFonts w:cs="Times New Roman"/>
                <w:color w:val="000000"/>
                <w:lang w:val="en-US" w:eastAsia="it-IT"/>
              </w:rPr>
              <w:t>1</w:t>
            </w:r>
            <w:r w:rsidR="00736397" w:rsidRPr="00FF17EC">
              <w:rPr>
                <w:rFonts w:cs="Times New Roman"/>
                <w:color w:val="000000"/>
                <w:lang w:val="en-US" w:eastAsia="it-IT"/>
              </w:rPr>
              <w:t>4</w:t>
            </w:r>
            <w:r w:rsidRPr="00FF17EC">
              <w:rPr>
                <w:rFonts w:cs="Times New Roman"/>
                <w:color w:val="000000"/>
                <w:lang w:val="en-US" w:eastAsia="it-IT"/>
              </w:rPr>
              <w:t>%</w:t>
            </w:r>
          </w:p>
        </w:tc>
        <w:tc>
          <w:tcPr>
            <w:tcW w:w="1500" w:type="dxa"/>
            <w:tcBorders>
              <w:top w:val="nil"/>
              <w:left w:val="nil"/>
              <w:bottom w:val="nil"/>
              <w:right w:val="nil"/>
            </w:tcBorders>
            <w:shd w:val="clear" w:color="auto" w:fill="auto"/>
            <w:noWrap/>
            <w:vAlign w:val="bottom"/>
            <w:hideMark/>
          </w:tcPr>
          <w:p w:rsidR="004B54BA" w:rsidRPr="00FF17EC" w:rsidRDefault="004B54BA" w:rsidP="00736397">
            <w:pPr>
              <w:keepNext/>
              <w:spacing w:after="0" w:line="240" w:lineRule="auto"/>
              <w:jc w:val="right"/>
              <w:rPr>
                <w:rFonts w:cs="Times New Roman"/>
                <w:lang w:val="en-US" w:eastAsia="it-IT"/>
              </w:rPr>
            </w:pPr>
            <w:r w:rsidRPr="00FF17EC">
              <w:rPr>
                <w:rFonts w:cs="Times New Roman"/>
                <w:lang w:val="en-US" w:eastAsia="it-IT"/>
              </w:rPr>
              <w:t>4</w:t>
            </w:r>
            <w:r w:rsidR="00736397" w:rsidRPr="00FF17EC">
              <w:rPr>
                <w:rFonts w:cs="Times New Roman"/>
                <w:lang w:val="en-US" w:eastAsia="it-IT"/>
              </w:rPr>
              <w:t>2</w:t>
            </w:r>
            <w:r w:rsidRPr="00FF17EC">
              <w:rPr>
                <w:rFonts w:cs="Times New Roman"/>
                <w:lang w:val="en-US" w:eastAsia="it-IT"/>
              </w:rPr>
              <w:t>%</w:t>
            </w:r>
          </w:p>
        </w:tc>
      </w:tr>
      <w:tr w:rsidR="004B54BA" w:rsidRPr="00FF17EC" w:rsidTr="004B54BA">
        <w:trPr>
          <w:trHeight w:val="283"/>
          <w:jc w:val="center"/>
        </w:trPr>
        <w:tc>
          <w:tcPr>
            <w:tcW w:w="1920"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TOTAL EU (27)</w:t>
            </w:r>
          </w:p>
        </w:tc>
        <w:tc>
          <w:tcPr>
            <w:tcW w:w="1540"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 </w:t>
            </w:r>
          </w:p>
        </w:tc>
        <w:tc>
          <w:tcPr>
            <w:tcW w:w="1400"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 </w:t>
            </w:r>
          </w:p>
        </w:tc>
        <w:tc>
          <w:tcPr>
            <w:tcW w:w="1500"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26,7</w:t>
            </w:r>
          </w:p>
        </w:tc>
        <w:tc>
          <w:tcPr>
            <w:tcW w:w="1500" w:type="dxa"/>
            <w:tcBorders>
              <w:top w:val="nil"/>
              <w:left w:val="nil"/>
              <w:bottom w:val="single" w:sz="4" w:space="0" w:color="auto"/>
              <w:right w:val="nil"/>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46%</w:t>
            </w:r>
          </w:p>
        </w:tc>
      </w:tr>
    </w:tbl>
    <w:p w:rsidR="004B54BA" w:rsidRPr="00FF17EC" w:rsidRDefault="004B54BA" w:rsidP="004B54BA">
      <w:pPr>
        <w:pStyle w:val="Caption"/>
        <w:ind w:left="851"/>
        <w:rPr>
          <w:color w:val="0070C0"/>
        </w:rPr>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10</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1</w:t>
      </w:r>
      <w:r w:rsidR="00085686" w:rsidRPr="00FF17EC">
        <w:rPr>
          <w:noProof/>
        </w:rPr>
        <w:fldChar w:fldCharType="end"/>
      </w:r>
      <w:r w:rsidRPr="00FF17EC">
        <w:t xml:space="preserve"> </w:t>
      </w:r>
      <w:r w:rsidRPr="00FF17EC">
        <w:rPr>
          <w:color w:val="0070C0"/>
        </w:rPr>
        <w:t>Indicators of educational attainment</w:t>
      </w:r>
    </w:p>
    <w:p w:rsidR="004B54BA" w:rsidRPr="00FF17EC" w:rsidRDefault="004B54BA" w:rsidP="004B54BA"/>
    <w:p w:rsidR="004B54BA" w:rsidRPr="00FF17EC" w:rsidRDefault="004B54BA" w:rsidP="004B54BA">
      <w:r w:rsidRPr="00FF17EC">
        <w:t xml:space="preserve">The indicator for higher education is much more heterogeneous. In Serbia it is close to one half of the level in Romania. Furthermore, in Romania the indicator is higher than the EU average, while in Serbia it is much lower. </w:t>
      </w:r>
    </w:p>
    <w:p w:rsidR="004B54BA" w:rsidRPr="00FF17EC" w:rsidRDefault="004B54BA" w:rsidP="004B54BA">
      <w:r w:rsidRPr="00FF17EC">
        <w:t xml:space="preserve">In both countries, according to surveys and studies, carried out by national and international institutions, the quality of education has experienced a decline in the last decade. </w:t>
      </w:r>
    </w:p>
    <w:p w:rsidR="004B54BA" w:rsidRPr="00FF17EC" w:rsidRDefault="004B54BA" w:rsidP="004B54BA">
      <w:r w:rsidRPr="00FF17EC">
        <w:t>The PISA tests indicators for mathematics achievements declined in Serbia from 477 to 436, and in Romania from 475 to 415</w:t>
      </w:r>
      <w:r w:rsidRPr="00FF17EC">
        <w:rPr>
          <w:rStyle w:val="FootnoteReference"/>
        </w:rPr>
        <w:footnoteReference w:id="53"/>
      </w:r>
      <w:r w:rsidRPr="00FF17EC">
        <w:t xml:space="preserve">. Similar variations are reported for science and reading. </w:t>
      </w:r>
    </w:p>
    <w:p w:rsidR="004B54BA" w:rsidRPr="00FF17EC" w:rsidRDefault="004B54BA" w:rsidP="004B54BA">
      <w:r w:rsidRPr="00FF17EC">
        <w:t>At national levels, the enrolment rates are similar in both countries, with the exception of pre-primary schools that are more developed in Romania than in Serbia.</w:t>
      </w:r>
    </w:p>
    <w:p w:rsidR="004B54BA" w:rsidRPr="00FF17EC" w:rsidRDefault="004B54BA" w:rsidP="004B54BA">
      <w:r w:rsidRPr="00FF17EC">
        <w:t>The two</w:t>
      </w:r>
      <w:r w:rsidR="00634723" w:rsidRPr="00FF17EC">
        <w:t xml:space="preserve"> </w:t>
      </w:r>
      <w:r w:rsidRPr="00FF17EC">
        <w:t xml:space="preserve">countries share the problem of providing educational services to minorities and disadvantaged groups. One significant indicator is that of the access to primary education of Roma children, that is roughly 40% compared to 90% of Romanian and Serbian children. </w:t>
      </w:r>
    </w:p>
    <w:p w:rsidR="004B54BA" w:rsidRPr="00FF17EC" w:rsidRDefault="004B54BA" w:rsidP="004B54BA"/>
    <w:p w:rsidR="004B54BA" w:rsidRPr="00FF17EC" w:rsidRDefault="004B54BA" w:rsidP="004B54BA">
      <w:pPr>
        <w:pStyle w:val="Heading3"/>
      </w:pPr>
      <w:r w:rsidRPr="00FF17EC">
        <w:t>Research and Innovation activities</w:t>
      </w:r>
    </w:p>
    <w:p w:rsidR="004B54BA" w:rsidRPr="00FF17EC" w:rsidRDefault="004B54BA" w:rsidP="004B54BA">
      <w:r w:rsidRPr="00FF17EC">
        <w:t>Research and innovation activities in the eligible area are extremely polarized, with one main pole,</w:t>
      </w:r>
      <w:r w:rsidR="00634723" w:rsidRPr="00FF17EC">
        <w:t xml:space="preserve"> </w:t>
      </w:r>
      <w:r w:rsidRPr="00FF17EC">
        <w:t xml:space="preserve">in Timis County, and a low density in all other areas. </w:t>
      </w:r>
    </w:p>
    <w:p w:rsidR="004B54BA" w:rsidRPr="00FF17EC" w:rsidRDefault="004B54BA" w:rsidP="004B54BA">
      <w:r w:rsidRPr="00FF17EC">
        <w:t>In Timiș County research specialization is very diversified varying from medicine, to engineering, physics, social sciences. Timis county</w:t>
      </w:r>
      <w:r w:rsidR="00634723" w:rsidRPr="00FF17EC">
        <w:t xml:space="preserve"> </w:t>
      </w:r>
      <w:r w:rsidRPr="00FF17EC">
        <w:t>houses more than 20</w:t>
      </w:r>
      <w:r w:rsidR="00634723" w:rsidRPr="00FF17EC">
        <w:t xml:space="preserve"> </w:t>
      </w:r>
      <w:r w:rsidRPr="00FF17EC">
        <w:t xml:space="preserve">public and privately owned, research centres, some based in the local universities, other connected to industrial and scientific organizations. </w:t>
      </w:r>
    </w:p>
    <w:p w:rsidR="004B54BA" w:rsidRPr="00FF17EC" w:rsidRDefault="004B54BA" w:rsidP="004B54BA">
      <w:r w:rsidRPr="00FF17EC">
        <w:t>Poles of research can be mentioned in the engineering,</w:t>
      </w:r>
      <w:r w:rsidR="00634723" w:rsidRPr="00FF17EC">
        <w:t xml:space="preserve"> </w:t>
      </w:r>
      <w:r w:rsidRPr="00FF17EC">
        <w:t>testing of the materials, chemistry related laboratories, physics, forestry, constructions, public health, social sciences, etc. Regarding the human resources, the number of employees in R&amp;D field is</w:t>
      </w:r>
      <w:r w:rsidR="00634723" w:rsidRPr="00FF17EC">
        <w:t xml:space="preserve"> </w:t>
      </w:r>
      <w:r w:rsidRPr="00FF17EC">
        <w:t>estimated at 0,88% out of the total employees in the county, close to the national romanian average.</w:t>
      </w:r>
    </w:p>
    <w:p w:rsidR="004B54BA" w:rsidRPr="00FF17EC" w:rsidRDefault="004B54BA" w:rsidP="004B54BA">
      <w:r w:rsidRPr="00FF17EC">
        <w:t>In Caraș Severin County,</w:t>
      </w:r>
      <w:r w:rsidRPr="00FF17EC">
        <w:rPr>
          <w:b/>
        </w:rPr>
        <w:t xml:space="preserve"> </w:t>
      </w:r>
      <w:r w:rsidRPr="00FF17EC">
        <w:t>the research specialization is focused on fruits production and animal breeding (2 research centres) and on mechanical engineering (UCM Resita - Research and Development Center for Hydraulic Equipments and Hydro-Engineering SA – Research centre for Hydraulic, Automation and Thermal Processes). The</w:t>
      </w:r>
      <w:r w:rsidRPr="00FF17EC">
        <w:rPr>
          <w:b/>
        </w:rPr>
        <w:t xml:space="preserve"> </w:t>
      </w:r>
      <w:r w:rsidRPr="00FF17EC">
        <w:t>number of employees in R&amp;D field is 0,11% of the total number of employees in the county, which represents roughly the 22% of the average</w:t>
      </w:r>
      <w:r w:rsidR="00634723" w:rsidRPr="00FF17EC">
        <w:t xml:space="preserve"> </w:t>
      </w:r>
      <w:r w:rsidRPr="00FF17EC">
        <w:t>in the West region , and even less in comparison to the national average.</w:t>
      </w:r>
      <w:r w:rsidRPr="00FF17EC">
        <w:rPr>
          <w:b/>
        </w:rPr>
        <w:t xml:space="preserve"> </w:t>
      </w:r>
      <w:r w:rsidRPr="00FF17EC">
        <w:t>In Mehedinți County</w:t>
      </w:r>
      <w:r w:rsidRPr="00FF17EC">
        <w:rPr>
          <w:b/>
        </w:rPr>
        <w:t xml:space="preserve"> </w:t>
      </w:r>
      <w:r w:rsidRPr="00FF17EC">
        <w:t xml:space="preserve">Research&amp; Development activities are very limited, as in the entire in South West region. </w:t>
      </w:r>
    </w:p>
    <w:p w:rsidR="004B54BA" w:rsidRPr="00FF17EC" w:rsidRDefault="004B54BA" w:rsidP="004B54BA">
      <w:r w:rsidRPr="00FF17EC">
        <w:t>Regarding research activity in the Serbian border regions, there are fewer research institutions, mainly in the fields of agriculture and forest studies, food processing, mining technologies. A university centre in research in Engineer fields is located in</w:t>
      </w:r>
      <w:r w:rsidR="00634723" w:rsidRPr="00FF17EC">
        <w:t xml:space="preserve"> </w:t>
      </w:r>
      <w:r w:rsidRPr="00FF17EC">
        <w:t>Vrsac</w:t>
      </w:r>
      <w:r w:rsidR="00634723" w:rsidRPr="00FF17EC">
        <w:t xml:space="preserve"> </w:t>
      </w:r>
      <w:r w:rsidRPr="00FF17EC">
        <w:t>and an Institute for Research in mining sciences is based</w:t>
      </w:r>
      <w:r w:rsidR="00634723" w:rsidRPr="00FF17EC">
        <w:t xml:space="preserve"> </w:t>
      </w:r>
      <w:r w:rsidRPr="00FF17EC">
        <w:t xml:space="preserve">in the city of Bor. </w:t>
      </w:r>
    </w:p>
    <w:p w:rsidR="004B54BA" w:rsidRPr="00FF17EC" w:rsidRDefault="004B54BA" w:rsidP="004B54BA">
      <w:r w:rsidRPr="00FF17EC">
        <w:t>As it was mentioned for the University network, companies and public institutions in the Serbian side of</w:t>
      </w:r>
      <w:r w:rsidR="00634723" w:rsidRPr="00FF17EC">
        <w:t xml:space="preserve"> </w:t>
      </w:r>
      <w:r w:rsidRPr="00FF17EC">
        <w:t>the eligible area have</w:t>
      </w:r>
      <w:r w:rsidR="00634723" w:rsidRPr="00FF17EC">
        <w:t xml:space="preserve"> </w:t>
      </w:r>
      <w:r w:rsidRPr="00FF17EC">
        <w:t>easy access to the research and innovation facilities in the neighbourhood of the area, in particular in the</w:t>
      </w:r>
      <w:r w:rsidR="00634723" w:rsidRPr="00FF17EC">
        <w:t xml:space="preserve"> </w:t>
      </w:r>
      <w:r w:rsidRPr="00FF17EC">
        <w:t>Belgrade area, and in Novi Sad.</w:t>
      </w:r>
    </w:p>
    <w:p w:rsidR="007D1DDB" w:rsidRPr="00FF17EC" w:rsidRDefault="007D1DDB" w:rsidP="004B54BA"/>
    <w:p w:rsidR="004B54BA" w:rsidRPr="00FF17EC" w:rsidRDefault="004B54BA" w:rsidP="004B54BA">
      <w:pPr>
        <w:pStyle w:val="Heading2"/>
      </w:pPr>
      <w:bookmarkStart w:id="112" w:name="_Toc378857151"/>
      <w:bookmarkStart w:id="113" w:name="_Toc383354421"/>
      <w:bookmarkStart w:id="114" w:name="_Toc383415725"/>
      <w:r w:rsidRPr="00FF17EC">
        <w:lastRenderedPageBreak/>
        <w:t>Smart specialization</w:t>
      </w:r>
      <w:bookmarkEnd w:id="112"/>
      <w:bookmarkEnd w:id="113"/>
      <w:bookmarkEnd w:id="114"/>
    </w:p>
    <w:p w:rsidR="004B54BA" w:rsidRPr="00FF17EC" w:rsidRDefault="004B54BA" w:rsidP="004B54BA">
      <w:r w:rsidRPr="00FF17EC">
        <w:t>Smart Specialisation is a strategic approach to economic development through targeted support to Research and Innovation. It will be the basis for European Structural and Investment Fund interventions in Research and Innovation as part of the future Regional and Cohesion Policy's contribution to the Europe 2020 jobs and growth agenda</w:t>
      </w:r>
      <w:r w:rsidRPr="00FF17EC">
        <w:rPr>
          <w:rStyle w:val="FootnoteReference"/>
        </w:rPr>
        <w:footnoteReference w:id="54"/>
      </w:r>
      <w:r w:rsidRPr="00FF17EC">
        <w:t>.</w:t>
      </w:r>
    </w:p>
    <w:p w:rsidR="004B54BA" w:rsidRPr="00FF17EC" w:rsidRDefault="004B54BA" w:rsidP="004B54BA">
      <w:r w:rsidRPr="00FF17EC">
        <w:t>Smart specialisation involves a process of developing a vision, identifying competitive advantage, setting strategic priorities and making use of smart policies to maximise the knowledge-based development potential of any region, strong or weak, high-tech or low-tech.</w:t>
      </w:r>
    </w:p>
    <w:p w:rsidR="004B54BA" w:rsidRPr="00FF17EC" w:rsidRDefault="004B54BA" w:rsidP="004B54BA">
      <w:r w:rsidRPr="00FF17EC">
        <w:t>Vojvodina region in the Republic of Serbia and West Development region in Romania are actively working for the implementation of the European SMART specialization strategy, and have joined the European network S3 platform, therefore five out of eight districts in the eligible area are directly involved in the platform, creating a strong basis for the extension of the strategic approach to the whole programme area.</w:t>
      </w:r>
    </w:p>
    <w:p w:rsidR="004B54BA" w:rsidRPr="00FF17EC" w:rsidRDefault="004B54BA" w:rsidP="004B54BA">
      <w:r w:rsidRPr="00FF17EC">
        <w:t>The S3 Platform assists EU countries and regions to develop, implement and review their Research and Innovation Strategies for Smart Specialisation (RIS3)</w:t>
      </w:r>
      <w:r w:rsidRPr="00FF17EC">
        <w:rPr>
          <w:rStyle w:val="FootnoteReference"/>
        </w:rPr>
        <w:footnoteReference w:id="55"/>
      </w:r>
      <w:r w:rsidRPr="00FF17EC">
        <w:t>. The role of the S3 Platform is to provide support to national and regional policy makers, as well as promote mutual learning, trans-national co-operation and contribute to academic debates around the concept of smart specialisation.</w:t>
      </w:r>
    </w:p>
    <w:p w:rsidR="004B54BA" w:rsidRPr="00FF17EC" w:rsidRDefault="004B54BA" w:rsidP="004B54BA">
      <w:r w:rsidRPr="00FF17EC">
        <w:t xml:space="preserve">According to the preliminary analysis of the regional potentials, some fields of specialization have been identified by the regional stakeholders, and could become the object of cross border cooperation: </w:t>
      </w:r>
    </w:p>
    <w:p w:rsidR="004B54BA" w:rsidRPr="00FF17EC" w:rsidRDefault="004B54BA" w:rsidP="004B54BA">
      <w:pPr>
        <w:pStyle w:val="ListParagraph"/>
        <w:rPr>
          <w:b/>
        </w:rPr>
      </w:pPr>
      <w:r w:rsidRPr="00FF17EC">
        <w:rPr>
          <w:b/>
        </w:rPr>
        <w:t xml:space="preserve">Timiș County: </w:t>
      </w:r>
      <w:r w:rsidRPr="00FF17EC">
        <w:t>Automotive, Textiles</w:t>
      </w:r>
      <w:r w:rsidRPr="00FF17EC">
        <w:rPr>
          <w:b/>
        </w:rPr>
        <w:t xml:space="preserve">, </w:t>
      </w:r>
      <w:r w:rsidRPr="00FF17EC">
        <w:t>Technologies for</w:t>
      </w:r>
      <w:r w:rsidRPr="00FF17EC">
        <w:rPr>
          <w:b/>
        </w:rPr>
        <w:t xml:space="preserve"> </w:t>
      </w:r>
      <w:r w:rsidRPr="00FF17EC">
        <w:t xml:space="preserve">renewable energies, Health technologies, food industries. </w:t>
      </w:r>
    </w:p>
    <w:p w:rsidR="004B54BA" w:rsidRPr="00FF17EC" w:rsidRDefault="004B54BA" w:rsidP="004B54BA">
      <w:pPr>
        <w:pStyle w:val="ListParagraph"/>
      </w:pPr>
      <w:r w:rsidRPr="00FF17EC">
        <w:rPr>
          <w:b/>
        </w:rPr>
        <w:t xml:space="preserve">Caras Severin County: </w:t>
      </w:r>
      <w:r w:rsidRPr="00FF17EC">
        <w:t>Food industries, production and animal breeding. Spa and wellness tourism</w:t>
      </w:r>
    </w:p>
    <w:p w:rsidR="004B54BA" w:rsidRPr="00FF17EC" w:rsidRDefault="004B54BA" w:rsidP="004B54BA">
      <w:pPr>
        <w:pStyle w:val="ListParagraph"/>
      </w:pPr>
      <w:r w:rsidRPr="00FF17EC">
        <w:lastRenderedPageBreak/>
        <w:t>On the basis of the territorial analysis in the other districts of the eligible area some other areas of specialization could be identified, for further analysis. Many of them could be considered for cross border partnerships.</w:t>
      </w:r>
    </w:p>
    <w:p w:rsidR="004B54BA" w:rsidRPr="00FF17EC" w:rsidRDefault="004B54BA" w:rsidP="004B54BA">
      <w:pPr>
        <w:pStyle w:val="ListParagraph"/>
      </w:pPr>
      <w:r w:rsidRPr="00FF17EC">
        <w:rPr>
          <w:b/>
        </w:rPr>
        <w:t>Mehedinți County:</w:t>
      </w:r>
      <w:r w:rsidRPr="00FF17EC">
        <w:t xml:space="preserve"> Renewable energies, eco-tourism</w:t>
      </w:r>
    </w:p>
    <w:p w:rsidR="004B54BA" w:rsidRPr="00FF17EC" w:rsidRDefault="004B54BA" w:rsidP="004B54BA">
      <w:pPr>
        <w:pStyle w:val="ListParagraph"/>
      </w:pPr>
      <w:r w:rsidRPr="00FF17EC">
        <w:rPr>
          <w:b/>
        </w:rPr>
        <w:t>Banat districts:</w:t>
      </w:r>
      <w:r w:rsidRPr="00FF17EC">
        <w:t xml:space="preserve"> </w:t>
      </w:r>
      <w:r w:rsidR="00E570DE" w:rsidRPr="00FF17EC">
        <w:t>F</w:t>
      </w:r>
      <w:r w:rsidRPr="00FF17EC">
        <w:t>ood industries, mechanical and ICT industries</w:t>
      </w:r>
    </w:p>
    <w:p w:rsidR="00E570DE" w:rsidRPr="00FF17EC" w:rsidRDefault="00C923DC" w:rsidP="004B54BA">
      <w:pPr>
        <w:pStyle w:val="ListParagraph"/>
        <w:rPr>
          <w:b/>
        </w:rPr>
      </w:pPr>
      <w:r w:rsidRPr="00FF17EC">
        <w:rPr>
          <w:b/>
        </w:rPr>
        <w:t xml:space="preserve">Podunavski: </w:t>
      </w:r>
      <w:r w:rsidR="00E570DE" w:rsidRPr="00FF17EC">
        <w:t>Heavy industry, manufacturing, home appliances</w:t>
      </w:r>
    </w:p>
    <w:p w:rsidR="004B54BA" w:rsidRPr="00FF17EC" w:rsidRDefault="004B54BA" w:rsidP="004B54BA">
      <w:pPr>
        <w:pStyle w:val="ListParagraph"/>
      </w:pPr>
      <w:r w:rsidRPr="00FF17EC">
        <w:rPr>
          <w:b/>
        </w:rPr>
        <w:t xml:space="preserve">Braniceski: </w:t>
      </w:r>
      <w:r w:rsidRPr="00FF17EC">
        <w:t>Agriculture and food industries, Renewable energies, eco-tourism</w:t>
      </w:r>
    </w:p>
    <w:p w:rsidR="004B54BA" w:rsidRPr="00FF17EC" w:rsidRDefault="004B54BA" w:rsidP="004B54BA">
      <w:pPr>
        <w:pStyle w:val="ListParagraph"/>
      </w:pPr>
      <w:r w:rsidRPr="00FF17EC">
        <w:rPr>
          <w:b/>
        </w:rPr>
        <w:t>Borski:</w:t>
      </w:r>
      <w:r w:rsidRPr="00FF17EC">
        <w:t xml:space="preserve"> </w:t>
      </w:r>
      <w:r w:rsidR="00E570DE" w:rsidRPr="00FF17EC">
        <w:t>S</w:t>
      </w:r>
      <w:r w:rsidRPr="00FF17EC">
        <w:t>ustainable mining industries, forestry, eco-tourism.</w:t>
      </w:r>
    </w:p>
    <w:p w:rsidR="004B54BA" w:rsidRPr="00FF17EC" w:rsidRDefault="004B54BA" w:rsidP="004B54BA">
      <w:r w:rsidRPr="00FF17EC">
        <w:t>In the current programme</w:t>
      </w:r>
      <w:r w:rsidR="00634723" w:rsidRPr="00FF17EC">
        <w:t xml:space="preserve"> </w:t>
      </w:r>
      <w:r w:rsidRPr="00FF17EC">
        <w:t>a large number of</w:t>
      </w:r>
      <w:r w:rsidR="00634723" w:rsidRPr="00FF17EC">
        <w:t xml:space="preserve"> </w:t>
      </w:r>
      <w:r w:rsidRPr="00FF17EC">
        <w:t>University and research centres was involved in the programme, specially, but not only, in the area of environmental protection, and resource management. The main</w:t>
      </w:r>
      <w:r w:rsidR="00634723" w:rsidRPr="00FF17EC">
        <w:t xml:space="preserve"> </w:t>
      </w:r>
      <w:r w:rsidRPr="00FF17EC">
        <w:t>challenge</w:t>
      </w:r>
      <w:r w:rsidR="00634723" w:rsidRPr="00FF17EC">
        <w:t xml:space="preserve"> </w:t>
      </w:r>
      <w:r w:rsidRPr="00FF17EC">
        <w:t>for the next programme could be that of the involvement of the local stackeholders in the field of SMART specialization shared by the economic systems on the two sides of the border.</w:t>
      </w:r>
    </w:p>
    <w:p w:rsidR="004B54BA" w:rsidRPr="00FF17EC" w:rsidRDefault="004B54BA" w:rsidP="00A62261">
      <w:pPr>
        <w:pStyle w:val="Heading1"/>
      </w:pPr>
      <w:bookmarkStart w:id="115" w:name="_Toc383354422"/>
      <w:bookmarkStart w:id="116" w:name="_Toc383415726"/>
      <w:r w:rsidRPr="00FF17EC">
        <w:lastRenderedPageBreak/>
        <w:t>The current CBC programme Romania –Republic of Serbia</w:t>
      </w:r>
      <w:bookmarkEnd w:id="115"/>
      <w:bookmarkEnd w:id="116"/>
    </w:p>
    <w:p w:rsidR="004B54BA" w:rsidRPr="00FF17EC" w:rsidRDefault="004B54BA" w:rsidP="004B54BA">
      <w:pPr>
        <w:rPr>
          <w:lang w:eastAsia="it-IT"/>
        </w:rPr>
      </w:pPr>
      <w:r w:rsidRPr="00FF17EC">
        <w:t xml:space="preserve">The </w:t>
      </w:r>
      <w:r w:rsidRPr="00FF17EC">
        <w:rPr>
          <w:lang w:eastAsia="it-IT"/>
        </w:rPr>
        <w:t xml:space="preserve">strategy of the CBC Programme Romania-Republic of Serbia 2007-2013 is focused on addressing the following key challenges: </w:t>
      </w:r>
    </w:p>
    <w:p w:rsidR="004B54BA" w:rsidRPr="00FF17EC" w:rsidRDefault="004B54BA" w:rsidP="004B54BA">
      <w:pPr>
        <w:pStyle w:val="ListParagraph"/>
        <w:rPr>
          <w:lang w:eastAsia="it-IT"/>
        </w:rPr>
      </w:pPr>
      <w:r w:rsidRPr="00FF17EC">
        <w:rPr>
          <w:lang w:eastAsia="it-IT"/>
        </w:rPr>
        <w:t>Specific issues related to the connectivity of the region;</w:t>
      </w:r>
    </w:p>
    <w:p w:rsidR="004B54BA" w:rsidRPr="00FF17EC" w:rsidRDefault="004B54BA" w:rsidP="004B54BA">
      <w:pPr>
        <w:pStyle w:val="ListParagraph"/>
        <w:rPr>
          <w:lang w:eastAsia="it-IT"/>
        </w:rPr>
      </w:pPr>
      <w:r w:rsidRPr="00FF17EC">
        <w:rPr>
          <w:lang w:eastAsia="it-IT"/>
        </w:rPr>
        <w:t>Lack of competitiveness, in terms of low levels of entrepreneurship and business activity, innovation, and investment;</w:t>
      </w:r>
    </w:p>
    <w:p w:rsidR="004B54BA" w:rsidRPr="00FF17EC" w:rsidRDefault="004B54BA" w:rsidP="004B54BA">
      <w:pPr>
        <w:pStyle w:val="ListParagraph"/>
        <w:rPr>
          <w:lang w:eastAsia="it-IT"/>
        </w:rPr>
      </w:pPr>
      <w:r w:rsidRPr="00FF17EC">
        <w:rPr>
          <w:lang w:eastAsia="it-IT"/>
        </w:rPr>
        <w:t>Rural development, in relation to key areas, such as agriculture, rural tourism and labour market;</w:t>
      </w:r>
    </w:p>
    <w:p w:rsidR="004B54BA" w:rsidRPr="00FF17EC" w:rsidRDefault="004B54BA" w:rsidP="004B54BA">
      <w:pPr>
        <w:pStyle w:val="ListParagraph"/>
        <w:rPr>
          <w:lang w:eastAsia="it-IT"/>
        </w:rPr>
      </w:pPr>
      <w:r w:rsidRPr="00FF17EC">
        <w:rPr>
          <w:lang w:eastAsia="it-IT"/>
        </w:rPr>
        <w:t>Environment and Emergency preparedness;</w:t>
      </w:r>
    </w:p>
    <w:p w:rsidR="004B54BA" w:rsidRPr="00FF17EC" w:rsidRDefault="004B54BA" w:rsidP="004B54BA">
      <w:pPr>
        <w:pStyle w:val="ListParagraph"/>
        <w:rPr>
          <w:lang w:eastAsia="it-IT"/>
        </w:rPr>
      </w:pPr>
      <w:r w:rsidRPr="00FF17EC">
        <w:rPr>
          <w:lang w:eastAsia="it-IT"/>
        </w:rPr>
        <w:t>The general challenge of the border as a “dividing factor”.</w:t>
      </w:r>
    </w:p>
    <w:p w:rsidR="004B54BA" w:rsidRPr="00FF17EC" w:rsidRDefault="004B54BA" w:rsidP="004B54BA">
      <w:pPr>
        <w:rPr>
          <w:lang w:eastAsia="it-IT"/>
        </w:rPr>
      </w:pPr>
      <w:r w:rsidRPr="00FF17EC">
        <w:rPr>
          <w:lang w:eastAsia="it-IT"/>
        </w:rPr>
        <w:t xml:space="preserve">In order to tackle the challenges the Programme’s stakeholders have set-up the Strategic Goal: “to achieve on the basis of joint cross-border projects and common actions by Romanian and Serbian stakeholders a more balanced and sustainable socio-economic development of the Romanian-Serbian border area”, which is broken down into two specific objectives: </w:t>
      </w:r>
    </w:p>
    <w:p w:rsidR="004B54BA" w:rsidRPr="00FF17EC" w:rsidRDefault="004B54BA" w:rsidP="004B54BA">
      <w:pPr>
        <w:pStyle w:val="ListParagraph"/>
        <w:rPr>
          <w:lang w:eastAsia="it-IT"/>
        </w:rPr>
      </w:pPr>
      <w:r w:rsidRPr="00FF17EC">
        <w:rPr>
          <w:lang w:eastAsia="it-IT"/>
        </w:rPr>
        <w:t xml:space="preserve">No. 1: Increase in the overall competitiveness of the economy in the border area; </w:t>
      </w:r>
    </w:p>
    <w:p w:rsidR="004B54BA" w:rsidRPr="00FF17EC" w:rsidRDefault="004B54BA" w:rsidP="004B54BA">
      <w:pPr>
        <w:pStyle w:val="ListParagraph"/>
        <w:rPr>
          <w:lang w:eastAsia="it-IT"/>
        </w:rPr>
      </w:pPr>
      <w:r w:rsidRPr="00FF17EC">
        <w:rPr>
          <w:lang w:eastAsia="it-IT"/>
        </w:rPr>
        <w:t xml:space="preserve">No. 2: Improvement of the quality of life for the communities of the area. </w:t>
      </w:r>
    </w:p>
    <w:p w:rsidR="004B54BA" w:rsidRPr="00FF17EC" w:rsidRDefault="004B54BA" w:rsidP="004B54BA">
      <w:pPr>
        <w:rPr>
          <w:lang w:eastAsia="it-IT"/>
        </w:rPr>
      </w:pPr>
      <w:r w:rsidRPr="00FF17EC">
        <w:rPr>
          <w:lang w:eastAsia="it-IT"/>
        </w:rPr>
        <w:t xml:space="preserve">The specific objectives of the Programme are addressed through 3 thematic Priority Axes: </w:t>
      </w:r>
    </w:p>
    <w:p w:rsidR="004B54BA" w:rsidRPr="00FF17EC" w:rsidRDefault="004B54BA" w:rsidP="004B54BA">
      <w:pPr>
        <w:pStyle w:val="ListParagraph"/>
        <w:rPr>
          <w:lang w:eastAsia="it-IT"/>
        </w:rPr>
      </w:pPr>
      <w:r w:rsidRPr="00FF17EC">
        <w:rPr>
          <w:lang w:eastAsia="it-IT"/>
        </w:rPr>
        <w:t xml:space="preserve">PA 1 “Economic and Social Development” is directly linked to Specific Objective 1; </w:t>
      </w:r>
    </w:p>
    <w:p w:rsidR="004B54BA" w:rsidRPr="00FF17EC" w:rsidRDefault="004B54BA" w:rsidP="004B54BA">
      <w:pPr>
        <w:pStyle w:val="ListParagraph"/>
        <w:rPr>
          <w:lang w:eastAsia="it-IT"/>
        </w:rPr>
      </w:pPr>
      <w:r w:rsidRPr="00FF17EC">
        <w:rPr>
          <w:lang w:eastAsia="it-IT"/>
        </w:rPr>
        <w:t xml:space="preserve">PA 2 “Environment and Emergency Preparedness” is directly linked to Specific Objective 2; </w:t>
      </w:r>
    </w:p>
    <w:p w:rsidR="004B54BA" w:rsidRPr="00FF17EC" w:rsidRDefault="004B54BA" w:rsidP="004B54BA">
      <w:pPr>
        <w:pStyle w:val="ListParagraph"/>
        <w:rPr>
          <w:lang w:eastAsia="it-IT"/>
        </w:rPr>
      </w:pPr>
      <w:r w:rsidRPr="00FF17EC">
        <w:rPr>
          <w:lang w:eastAsia="it-IT"/>
        </w:rPr>
        <w:t xml:space="preserve">PA 3 “Promoting People to People Exchanges” </w:t>
      </w:r>
    </w:p>
    <w:p w:rsidR="004B54BA" w:rsidRPr="00FF17EC" w:rsidRDefault="004B54BA" w:rsidP="004B54BA">
      <w:pPr>
        <w:rPr>
          <w:lang w:eastAsia="it-IT"/>
        </w:rPr>
      </w:pPr>
      <w:r w:rsidRPr="00FF17EC">
        <w:rPr>
          <w:lang w:eastAsia="it-IT"/>
        </w:rPr>
        <w:t xml:space="preserve">According to the feedback from the stakeholders, the Programme’s Strategy is still consistent with the socio-economic environment of the cross-border area and both the logic of intervention and needs remain valid. After the assessment considering the structural and economic changes happened in the programme implementation period, the assumptions of the SWOT analysis have largely remained the same, marked by the economic downturn. </w:t>
      </w:r>
    </w:p>
    <w:p w:rsidR="004B54BA" w:rsidRPr="00FF17EC" w:rsidRDefault="004B54BA" w:rsidP="004B54BA">
      <w:pPr>
        <w:rPr>
          <w:lang w:eastAsia="it-IT"/>
        </w:rPr>
      </w:pPr>
      <w:r w:rsidRPr="00FF17EC">
        <w:rPr>
          <w:lang w:eastAsia="it-IT"/>
        </w:rPr>
        <w:t xml:space="preserve">However, according to the survey carried out during the Programme Evaluation exercise, the programme Stakeholders consider the strategy too broadly defined, lacking of focus on specific </w:t>
      </w:r>
      <w:r w:rsidRPr="00FF17EC">
        <w:rPr>
          <w:lang w:eastAsia="it-IT"/>
        </w:rPr>
        <w:lastRenderedPageBreak/>
        <w:t xml:space="preserve">development priorities for the area. One of the main causes identified by stakeholders was the too broad definition of objectives and the excessive number of types of eligible interventions. </w:t>
      </w:r>
    </w:p>
    <w:p w:rsidR="004B54BA" w:rsidRPr="00FF17EC" w:rsidRDefault="004B54BA" w:rsidP="004B54BA">
      <w:pPr>
        <w:rPr>
          <w:lang w:eastAsia="it-IT"/>
        </w:rPr>
      </w:pPr>
      <w:r w:rsidRPr="00FF17EC">
        <w:rPr>
          <w:lang w:eastAsia="it-IT"/>
        </w:rPr>
        <w:t>Programme Stakeholders also pointed out the need of stronger coordination with the central administrative level in each country and with the MAs of other IPA Programmes covering overlapping eligible regions (Romania – Serbia, Hungary – Serbia and Bulgaria – Serbia) and with the European macro-regional strategies relevant to the cross-border area</w:t>
      </w:r>
      <w:r w:rsidRPr="00FF17EC">
        <w:rPr>
          <w:rStyle w:val="FootnoteReference"/>
          <w:lang w:eastAsia="it-IT"/>
        </w:rPr>
        <w:footnoteReference w:id="56"/>
      </w:r>
      <w:r w:rsidRPr="00FF17EC">
        <w:rPr>
          <w:lang w:eastAsia="it-IT"/>
        </w:rPr>
        <w:t xml:space="preserve">. </w:t>
      </w:r>
    </w:p>
    <w:p w:rsidR="004B54BA" w:rsidRPr="00FF17EC" w:rsidRDefault="004B54BA" w:rsidP="004B54BA">
      <w:pPr>
        <w:rPr>
          <w:lang w:eastAsia="it-IT"/>
        </w:rPr>
      </w:pPr>
      <w:r w:rsidRPr="00FF17EC">
        <w:rPr>
          <w:lang w:eastAsia="it-IT"/>
        </w:rPr>
        <w:t xml:space="preserve">The two calls attracted partners almost homogenously spread over the eligible area (map below). </w:t>
      </w:r>
    </w:p>
    <w:p w:rsidR="004B54BA" w:rsidRPr="00FF17EC" w:rsidRDefault="004B54BA" w:rsidP="004B54BA">
      <w:pPr>
        <w:rPr>
          <w:lang w:eastAsia="it-IT"/>
        </w:rPr>
      </w:pPr>
      <w:r w:rsidRPr="00FF17EC">
        <w:rPr>
          <w:lang w:eastAsia="it-IT"/>
        </w:rPr>
        <w:t>The territorial distribution of projects shows that all counties and districts have been involved. In Serbia, at least one application was submitted from most of the municipalities. In Romania the applications where submitted by entities located more concentrated in</w:t>
      </w:r>
      <w:r w:rsidR="00634723" w:rsidRPr="00FF17EC">
        <w:rPr>
          <w:lang w:eastAsia="it-IT"/>
        </w:rPr>
        <w:t xml:space="preserve"> </w:t>
      </w:r>
      <w:r w:rsidRPr="00FF17EC">
        <w:rPr>
          <w:lang w:eastAsia="it-IT"/>
        </w:rPr>
        <w:t>the main centres.</w:t>
      </w:r>
    </w:p>
    <w:p w:rsidR="004B54BA" w:rsidRPr="00FF17EC" w:rsidRDefault="004B54BA" w:rsidP="004B54BA">
      <w:pPr>
        <w:jc w:val="center"/>
      </w:pPr>
      <w:r w:rsidRPr="00FF17EC">
        <w:rPr>
          <w:noProof/>
          <w:bdr w:val="single" w:sz="4" w:space="0" w:color="auto"/>
          <w:lang w:eastAsia="en-GB"/>
        </w:rPr>
        <w:drawing>
          <wp:inline distT="0" distB="0" distL="0" distR="0">
            <wp:extent cx="3905250" cy="2763658"/>
            <wp:effectExtent l="19050" t="0" r="0" b="0"/>
            <wp:docPr id="7" name="Immagine 5" descr="Partner l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ner location.jpg"/>
                    <pic:cNvPicPr/>
                  </pic:nvPicPr>
                  <pic:blipFill>
                    <a:blip r:embed="rId53"/>
                    <a:stretch>
                      <a:fillRect/>
                    </a:stretch>
                  </pic:blipFill>
                  <pic:spPr>
                    <a:xfrm>
                      <a:off x="0" y="0"/>
                      <a:ext cx="3911846" cy="2768326"/>
                    </a:xfrm>
                    <a:prstGeom prst="rect">
                      <a:avLst/>
                    </a:prstGeom>
                  </pic:spPr>
                </pic:pic>
              </a:graphicData>
            </a:graphic>
          </wp:inline>
        </w:drawing>
      </w:r>
    </w:p>
    <w:p w:rsidR="004B54BA" w:rsidRPr="00FF17EC" w:rsidRDefault="004B54BA" w:rsidP="004B54BA">
      <w:pPr>
        <w:pStyle w:val="Caption"/>
        <w:spacing w:after="0" w:line="240" w:lineRule="auto"/>
        <w:ind w:right="45"/>
        <w:jc w:val="center"/>
      </w:pPr>
      <w:r w:rsidRPr="00FF17EC">
        <w:t xml:space="preserve">Map </w:t>
      </w:r>
      <w:r w:rsidR="005C4AE7" w:rsidRPr="00FF17EC">
        <w:t>11</w:t>
      </w:r>
      <w:r w:rsidRPr="00FF17EC">
        <w:noBreakHyphen/>
      </w:r>
      <w:r w:rsidR="00085686" w:rsidRPr="00FF17EC">
        <w:fldChar w:fldCharType="begin"/>
      </w:r>
      <w:r w:rsidR="00EE702C" w:rsidRPr="00FF17EC">
        <w:instrText xml:space="preserve"> SEQ Map \* ARABIC \s 1 </w:instrText>
      </w:r>
      <w:r w:rsidR="00085686" w:rsidRPr="00FF17EC">
        <w:fldChar w:fldCharType="separate"/>
      </w:r>
      <w:r w:rsidR="009737E5">
        <w:rPr>
          <w:noProof/>
        </w:rPr>
        <w:t>1</w:t>
      </w:r>
      <w:r w:rsidR="00085686" w:rsidRPr="00FF17EC">
        <w:rPr>
          <w:noProof/>
        </w:rPr>
        <w:fldChar w:fldCharType="end"/>
      </w:r>
      <w:r w:rsidRPr="00FF17EC">
        <w:t xml:space="preserve"> Location of project partners in the current </w:t>
      </w:r>
    </w:p>
    <w:p w:rsidR="004B54BA" w:rsidRPr="00FF17EC" w:rsidRDefault="004B54BA" w:rsidP="004B54BA">
      <w:pPr>
        <w:pStyle w:val="Caption"/>
        <w:spacing w:after="0" w:line="240" w:lineRule="auto"/>
        <w:ind w:right="45"/>
        <w:jc w:val="center"/>
      </w:pPr>
      <w:r w:rsidRPr="00FF17EC">
        <w:t>CBC programme Serbia Romania</w:t>
      </w:r>
    </w:p>
    <w:p w:rsidR="004B54BA" w:rsidRPr="00FF17EC" w:rsidRDefault="004B54BA" w:rsidP="004B54BA">
      <w:pPr>
        <w:rPr>
          <w:lang w:eastAsia="it-IT"/>
        </w:rPr>
      </w:pPr>
    </w:p>
    <w:p w:rsidR="004B54BA" w:rsidRPr="00FF17EC" w:rsidRDefault="004B54BA" w:rsidP="004B54BA">
      <w:pPr>
        <w:rPr>
          <w:lang w:eastAsia="it-IT"/>
        </w:rPr>
      </w:pPr>
      <w:r w:rsidRPr="00FF17EC">
        <w:rPr>
          <w:lang w:eastAsia="it-IT"/>
        </w:rPr>
        <w:t>A concentration of project applications can be observed in Timiș County and in Centre and South Banat, both in terms of number of applications and in terms of total budget</w:t>
      </w:r>
      <w:r w:rsidR="00634723" w:rsidRPr="00FF17EC">
        <w:rPr>
          <w:lang w:eastAsia="it-IT"/>
        </w:rPr>
        <w:t xml:space="preserve"> </w:t>
      </w:r>
      <w:r w:rsidRPr="00FF17EC">
        <w:rPr>
          <w:lang w:eastAsia="it-IT"/>
        </w:rPr>
        <w:t xml:space="preserve">of projects. </w:t>
      </w:r>
      <w:r w:rsidRPr="00FF17EC">
        <w:rPr>
          <w:lang w:eastAsia="it-IT"/>
        </w:rPr>
        <w:lastRenderedPageBreak/>
        <w:t>However, the relative distribution of project applications, compared to the population, proves that the Caraș Severin and Mehedinți counties have been even more active than the Timiș county. In Serbia, the Borski province, has been more active than the two Banat counties.</w:t>
      </w:r>
    </w:p>
    <w:p w:rsidR="004B54BA" w:rsidRPr="00FF17EC" w:rsidRDefault="004B54BA" w:rsidP="004B54BA">
      <w:pPr>
        <w:rPr>
          <w:lang w:eastAsia="it-IT"/>
        </w:rPr>
      </w:pPr>
      <w:r w:rsidRPr="00FF17EC">
        <w:rPr>
          <w:lang w:eastAsia="it-IT"/>
        </w:rPr>
        <w:t xml:space="preserve">The involvement of the single communities in the programme has been measured also through the indicator of the number of applications per number of inhabitants (graph below) According to this indicator the most involved areas are those of Mehedinti in Romania and </w:t>
      </w:r>
      <w:r w:rsidR="00FF17EC" w:rsidRPr="00FF17EC">
        <w:rPr>
          <w:lang w:eastAsia="it-IT"/>
        </w:rPr>
        <w:t>Srednje-Banatski in Serbia</w:t>
      </w:r>
      <w:r w:rsidR="007135BF">
        <w:rPr>
          <w:rStyle w:val="FootnoteReference"/>
          <w:lang w:eastAsia="it-IT"/>
        </w:rPr>
        <w:footnoteReference w:id="57"/>
      </w:r>
      <w:r w:rsidR="00FF17EC" w:rsidRPr="00FF17EC">
        <w:rPr>
          <w:lang w:eastAsia="it-IT"/>
        </w:rPr>
        <w:t>.</w:t>
      </w:r>
    </w:p>
    <w:p w:rsidR="004B54BA" w:rsidRPr="00FF17EC" w:rsidRDefault="004B54BA" w:rsidP="004B54BA">
      <w:pPr>
        <w:keepNext/>
        <w:rPr>
          <w:lang w:eastAsia="it-IT"/>
        </w:rPr>
      </w:pPr>
      <w:r w:rsidRPr="00FF17EC">
        <w:rPr>
          <w:noProof/>
          <w:lang w:eastAsia="en-GB"/>
        </w:rPr>
        <w:drawing>
          <wp:inline distT="0" distB="0" distL="0" distR="0">
            <wp:extent cx="4559774" cy="2869708"/>
            <wp:effectExtent l="19050" t="0" r="0" b="0"/>
            <wp:docPr id="1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srcRect/>
                    <a:stretch>
                      <a:fillRect/>
                    </a:stretch>
                  </pic:blipFill>
                  <pic:spPr bwMode="auto">
                    <a:xfrm>
                      <a:off x="0" y="0"/>
                      <a:ext cx="4560042" cy="2869877"/>
                    </a:xfrm>
                    <a:prstGeom prst="rect">
                      <a:avLst/>
                    </a:prstGeom>
                    <a:noFill/>
                  </pic:spPr>
                </pic:pic>
              </a:graphicData>
            </a:graphic>
          </wp:inline>
        </w:drawing>
      </w:r>
    </w:p>
    <w:p w:rsidR="004B54BA" w:rsidRPr="00FF17EC" w:rsidRDefault="004B54BA" w:rsidP="004B54BA">
      <w:pPr>
        <w:pStyle w:val="Caption"/>
        <w:rPr>
          <w:sz w:val="22"/>
        </w:rPr>
      </w:pPr>
      <w:r w:rsidRPr="00FF17EC">
        <w:rPr>
          <w:sz w:val="22"/>
        </w:rPr>
        <w:t xml:space="preserve">Graph </w:t>
      </w:r>
      <w:r w:rsidR="005C4AE7" w:rsidRPr="00FF17EC">
        <w:rPr>
          <w:sz w:val="22"/>
        </w:rPr>
        <w:t>11</w:t>
      </w:r>
      <w:r w:rsidRPr="00FF17EC">
        <w:rPr>
          <w:sz w:val="22"/>
        </w:rPr>
        <w:noBreakHyphen/>
      </w:r>
      <w:r w:rsidR="00085686" w:rsidRPr="00FF17EC">
        <w:rPr>
          <w:sz w:val="22"/>
        </w:rPr>
        <w:fldChar w:fldCharType="begin"/>
      </w:r>
      <w:r w:rsidRPr="00FF17EC">
        <w:rPr>
          <w:sz w:val="22"/>
        </w:rPr>
        <w:instrText xml:space="preserve"> SEQ Graph \* ARABIC \s 1 </w:instrText>
      </w:r>
      <w:r w:rsidR="00085686" w:rsidRPr="00FF17EC">
        <w:rPr>
          <w:sz w:val="22"/>
        </w:rPr>
        <w:fldChar w:fldCharType="separate"/>
      </w:r>
      <w:r w:rsidR="009737E5">
        <w:rPr>
          <w:noProof/>
          <w:sz w:val="22"/>
        </w:rPr>
        <w:t>1</w:t>
      </w:r>
      <w:r w:rsidR="00085686" w:rsidRPr="00FF17EC">
        <w:rPr>
          <w:sz w:val="22"/>
        </w:rPr>
        <w:fldChar w:fldCharType="end"/>
      </w:r>
      <w:r w:rsidRPr="00FF17EC">
        <w:rPr>
          <w:sz w:val="22"/>
        </w:rPr>
        <w:t xml:space="preserve"> Indicator of project “density” in the eligible area</w:t>
      </w:r>
    </w:p>
    <w:p w:rsidR="004B54BA" w:rsidRPr="00FF17EC" w:rsidRDefault="004B54BA" w:rsidP="004B54BA">
      <w:pPr>
        <w:rPr>
          <w:lang w:eastAsia="it-IT"/>
        </w:rPr>
      </w:pPr>
    </w:p>
    <w:p w:rsidR="004B54BA" w:rsidRPr="00FF17EC" w:rsidRDefault="004B54BA" w:rsidP="004B54BA">
      <w:pPr>
        <w:rPr>
          <w:lang w:eastAsia="it-IT"/>
        </w:rPr>
      </w:pPr>
      <w:r w:rsidRPr="00FF17EC">
        <w:rPr>
          <w:lang w:eastAsia="it-IT"/>
        </w:rPr>
        <w:t xml:space="preserve">The results of the two calls for projects carried out during the programme implementation proved that the target groups generated a large number of projects addressing all priorities. </w:t>
      </w:r>
    </w:p>
    <w:p w:rsidR="004B54BA" w:rsidRPr="00FF17EC" w:rsidRDefault="004B54BA" w:rsidP="004B54BA">
      <w:pPr>
        <w:rPr>
          <w:lang w:eastAsia="it-IT"/>
        </w:rPr>
      </w:pPr>
      <w:r w:rsidRPr="00FF17EC">
        <w:rPr>
          <w:lang w:eastAsia="it-IT"/>
        </w:rPr>
        <w:t>The larger part of funds has been allocated to the first priority, as could be expected considering that in this priority</w:t>
      </w:r>
      <w:r w:rsidR="00634723" w:rsidRPr="00FF17EC">
        <w:rPr>
          <w:lang w:eastAsia="it-IT"/>
        </w:rPr>
        <w:t xml:space="preserve"> </w:t>
      </w:r>
      <w:r w:rsidRPr="00FF17EC">
        <w:rPr>
          <w:lang w:eastAsia="it-IT"/>
        </w:rPr>
        <w:t>“soft” projects are mixed with “investment” projects.</w:t>
      </w:r>
    </w:p>
    <w:p w:rsidR="004B54BA" w:rsidRPr="00FF17EC" w:rsidRDefault="004B54BA" w:rsidP="004B54BA">
      <w:pPr>
        <w:rPr>
          <w:lang w:eastAsia="it-IT"/>
        </w:rPr>
      </w:pPr>
      <w:r w:rsidRPr="00FF17EC">
        <w:rPr>
          <w:lang w:eastAsia="it-IT"/>
        </w:rPr>
        <w:lastRenderedPageBreak/>
        <w:t xml:space="preserve">The lowest share was allocated to the third priority, that focus on soft projects with limited budgets. </w:t>
      </w:r>
    </w:p>
    <w:p w:rsidR="004B54BA" w:rsidRPr="00FF17EC" w:rsidRDefault="004B54BA" w:rsidP="004B54BA">
      <w:pPr>
        <w:rPr>
          <w:lang w:eastAsia="it-IT"/>
        </w:rPr>
      </w:pPr>
      <w:r w:rsidRPr="00FF17EC">
        <w:rPr>
          <w:lang w:eastAsia="it-IT"/>
        </w:rPr>
        <w:t>A lower performance has been observed for the priority 2, for Environment and Emergency Preparedness (see tables below) . According to the stakeholders, the main reason is due to the difficulty for NGOs to access to this priority. In the same priority the sub-priority for actions in the field of waste and waste water management</w:t>
      </w:r>
      <w:r w:rsidR="00634723" w:rsidRPr="00FF17EC">
        <w:rPr>
          <w:lang w:eastAsia="it-IT"/>
        </w:rPr>
        <w:t xml:space="preserve"> </w:t>
      </w:r>
      <w:r w:rsidRPr="00FF17EC">
        <w:rPr>
          <w:lang w:eastAsia="it-IT"/>
        </w:rPr>
        <w:t>was not successful.</w:t>
      </w:r>
    </w:p>
    <w:p w:rsidR="004B54BA" w:rsidRPr="00FF17EC" w:rsidRDefault="004B54BA" w:rsidP="004B54BA">
      <w:pPr>
        <w:rPr>
          <w:lang w:eastAsia="it-IT"/>
        </w:rPr>
      </w:pPr>
      <w:r w:rsidRPr="00FF17EC">
        <w:rPr>
          <w:lang w:eastAsia="it-IT"/>
        </w:rPr>
        <w:t xml:space="preserve">The second call, dedicated to the priority 2, coordinated to the strategy of the Danube Region, led to the approval of </w:t>
      </w:r>
      <w:r w:rsidR="008A6D0D" w:rsidRPr="00FF17EC">
        <w:rPr>
          <w:lang w:eastAsia="it-IT"/>
        </w:rPr>
        <w:t>6</w:t>
      </w:r>
      <w:r w:rsidRPr="00FF17EC">
        <w:rPr>
          <w:lang w:eastAsia="it-IT"/>
        </w:rPr>
        <w:t xml:space="preserve"> projects on environmental protection and emergency management. </w:t>
      </w:r>
    </w:p>
    <w:tbl>
      <w:tblPr>
        <w:tblW w:w="880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11"/>
        <w:gridCol w:w="1417"/>
        <w:gridCol w:w="1276"/>
      </w:tblGrid>
      <w:tr w:rsidR="004B54BA" w:rsidRPr="00FF17EC" w:rsidTr="004B54BA">
        <w:trPr>
          <w:trHeight w:val="345"/>
        </w:trPr>
        <w:tc>
          <w:tcPr>
            <w:tcW w:w="6111" w:type="dxa"/>
            <w:shd w:val="clear" w:color="auto" w:fill="auto"/>
            <w:vAlign w:val="bottom"/>
            <w:hideMark/>
          </w:tcPr>
          <w:p w:rsidR="004B54BA" w:rsidRPr="00FF17EC" w:rsidRDefault="004B54BA" w:rsidP="004B54BA">
            <w:pPr>
              <w:keepNext/>
              <w:tabs>
                <w:tab w:val="left" w:pos="1440"/>
              </w:tabs>
              <w:spacing w:after="0" w:line="240" w:lineRule="auto"/>
              <w:jc w:val="center"/>
              <w:rPr>
                <w:rFonts w:cs="Times New Roman"/>
                <w:b/>
                <w:bCs/>
                <w:color w:val="000000"/>
                <w:lang w:val="en-US" w:eastAsia="it-IT"/>
              </w:rPr>
            </w:pPr>
            <w:r w:rsidRPr="00FF17EC">
              <w:rPr>
                <w:rFonts w:cs="Times New Roman"/>
                <w:b/>
                <w:bCs/>
                <w:color w:val="000000"/>
                <w:lang w:val="en-US" w:eastAsia="it-IT"/>
              </w:rPr>
              <w:t>Priorities</w:t>
            </w:r>
          </w:p>
        </w:tc>
        <w:tc>
          <w:tcPr>
            <w:tcW w:w="1417" w:type="dxa"/>
            <w:vAlign w:val="bottom"/>
          </w:tcPr>
          <w:p w:rsidR="004B54BA" w:rsidRPr="00FF17EC" w:rsidRDefault="004B54BA" w:rsidP="004B54BA">
            <w:pPr>
              <w:keepNext/>
              <w:spacing w:after="0" w:line="240" w:lineRule="auto"/>
              <w:jc w:val="center"/>
              <w:rPr>
                <w:rFonts w:cs="Times New Roman"/>
                <w:b/>
                <w:bCs/>
                <w:color w:val="000000"/>
                <w:lang w:val="en-US" w:eastAsia="it-IT"/>
              </w:rPr>
            </w:pPr>
            <w:r w:rsidRPr="00FF17EC">
              <w:rPr>
                <w:rFonts w:cs="Times New Roman"/>
                <w:b/>
                <w:bCs/>
                <w:color w:val="000000"/>
                <w:lang w:val="en-US" w:eastAsia="it-IT"/>
              </w:rPr>
              <w:t>First call</w:t>
            </w:r>
          </w:p>
        </w:tc>
        <w:tc>
          <w:tcPr>
            <w:tcW w:w="1276" w:type="dxa"/>
            <w:vAlign w:val="bottom"/>
          </w:tcPr>
          <w:p w:rsidR="004B54BA" w:rsidRPr="00FF17EC" w:rsidRDefault="004B54BA" w:rsidP="004B54BA">
            <w:pPr>
              <w:keepNext/>
              <w:spacing w:after="0" w:line="240" w:lineRule="auto"/>
              <w:jc w:val="center"/>
              <w:rPr>
                <w:rFonts w:cs="Times New Roman"/>
                <w:b/>
                <w:bCs/>
                <w:color w:val="000000"/>
                <w:lang w:val="en-US" w:eastAsia="it-IT"/>
              </w:rPr>
            </w:pPr>
            <w:r w:rsidRPr="00FF17EC">
              <w:rPr>
                <w:rFonts w:cs="Times New Roman"/>
                <w:b/>
                <w:bCs/>
                <w:color w:val="000000"/>
                <w:lang w:val="en-US" w:eastAsia="it-IT"/>
              </w:rPr>
              <w:t>Second call</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b/>
                <w:bCs/>
                <w:color w:val="000000"/>
                <w:lang w:val="en-US" w:eastAsia="it-IT"/>
              </w:rPr>
            </w:pPr>
            <w:r w:rsidRPr="00FF17EC">
              <w:rPr>
                <w:rFonts w:cs="Times New Roman"/>
                <w:b/>
                <w:bCs/>
                <w:color w:val="000000"/>
                <w:lang w:val="en-US" w:eastAsia="it-IT"/>
              </w:rPr>
              <w:t xml:space="preserve">PA 1 - Economic &amp; Social Development </w:t>
            </w:r>
          </w:p>
        </w:tc>
        <w:tc>
          <w:tcPr>
            <w:tcW w:w="1417" w:type="dxa"/>
            <w:vAlign w:val="bottom"/>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62,32%</w:t>
            </w:r>
          </w:p>
        </w:tc>
        <w:tc>
          <w:tcPr>
            <w:tcW w:w="1276" w:type="dxa"/>
            <w:vAlign w:val="bottom"/>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63,71%</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1.1 Support for local/ regional economic and social infrastructure</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18,08%</w:t>
            </w:r>
          </w:p>
        </w:tc>
        <w:tc>
          <w:tcPr>
            <w:tcW w:w="1276" w:type="dxa"/>
            <w:vAlign w:val="bottom"/>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23,78%</w:t>
            </w:r>
          </w:p>
        </w:tc>
      </w:tr>
      <w:tr w:rsidR="004B54BA" w:rsidRPr="00FF17EC" w:rsidTr="004B54BA">
        <w:trPr>
          <w:trHeight w:val="345"/>
        </w:trPr>
        <w:tc>
          <w:tcPr>
            <w:tcW w:w="6111" w:type="dxa"/>
            <w:shd w:val="clear" w:color="auto" w:fill="auto"/>
            <w:hideMark/>
          </w:tcPr>
          <w:p w:rsidR="004B54BA" w:rsidRPr="00FF17EC" w:rsidRDefault="004B54BA" w:rsidP="00BB1745">
            <w:pPr>
              <w:keepNext/>
              <w:spacing w:after="0" w:line="240" w:lineRule="auto"/>
              <w:jc w:val="left"/>
              <w:rPr>
                <w:rFonts w:cs="Times New Roman"/>
                <w:color w:val="000000"/>
                <w:lang w:val="en-US" w:eastAsia="it-IT"/>
              </w:rPr>
            </w:pPr>
            <w:r w:rsidRPr="00FF17EC">
              <w:rPr>
                <w:rFonts w:cs="Times New Roman"/>
                <w:color w:val="000000"/>
                <w:lang w:val="en-US" w:eastAsia="it-IT"/>
              </w:rPr>
              <w:t>1.2 Develop the tourism sector</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30,73%</w:t>
            </w:r>
          </w:p>
        </w:tc>
        <w:tc>
          <w:tcPr>
            <w:tcW w:w="1276" w:type="dxa"/>
            <w:vAlign w:val="bottom"/>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24,51%</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1.3 Promote SME development </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5,17%</w:t>
            </w:r>
          </w:p>
        </w:tc>
        <w:tc>
          <w:tcPr>
            <w:tcW w:w="1276" w:type="dxa"/>
            <w:vAlign w:val="bottom"/>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12,70%</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1.4 Support increased levels of R&amp;D and innovation in the border region </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8,34%</w:t>
            </w:r>
          </w:p>
        </w:tc>
        <w:tc>
          <w:tcPr>
            <w:tcW w:w="1276" w:type="dxa"/>
            <w:vAlign w:val="bottom"/>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2,72%</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b/>
                <w:bCs/>
                <w:color w:val="000000"/>
                <w:lang w:val="en-US" w:eastAsia="it-IT"/>
              </w:rPr>
            </w:pPr>
            <w:r w:rsidRPr="00FF17EC">
              <w:rPr>
                <w:rFonts w:cs="Times New Roman"/>
                <w:b/>
                <w:bCs/>
                <w:color w:val="000000"/>
                <w:lang w:val="en-US" w:eastAsia="it-IT"/>
              </w:rPr>
              <w:t>PA 2 - Environment &amp; Emergency Preparedness</w:t>
            </w:r>
          </w:p>
        </w:tc>
        <w:tc>
          <w:tcPr>
            <w:tcW w:w="1417" w:type="dxa"/>
            <w:vAlign w:val="bottom"/>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21,76%</w:t>
            </w:r>
          </w:p>
        </w:tc>
        <w:tc>
          <w:tcPr>
            <w:tcW w:w="1276" w:type="dxa"/>
            <w:vAlign w:val="bottom"/>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22,99%</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2.1 Improve systems and approaches to address cross-border environmental risks </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11,37%</w:t>
            </w:r>
          </w:p>
        </w:tc>
        <w:tc>
          <w:tcPr>
            <w:tcW w:w="1276" w:type="dxa"/>
            <w:vAlign w:val="bottom"/>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6,72%</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2.2 Develop and implement effective strategies for waste and waste water management </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 </w:t>
            </w:r>
          </w:p>
        </w:tc>
        <w:tc>
          <w:tcPr>
            <w:tcW w:w="1276" w:type="dxa"/>
            <w:vAlign w:val="bottom"/>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2.3 More effective systems and approaches to emergency preparedness </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10,39%</w:t>
            </w:r>
          </w:p>
        </w:tc>
        <w:tc>
          <w:tcPr>
            <w:tcW w:w="1276" w:type="dxa"/>
            <w:vAlign w:val="bottom"/>
          </w:tcPr>
          <w:p w:rsidR="004B54BA" w:rsidRPr="00FF17EC" w:rsidRDefault="005A52D9"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 xml:space="preserve"> </w:t>
            </w:r>
            <w:r w:rsidR="004B54BA" w:rsidRPr="00FF17EC">
              <w:rPr>
                <w:rFonts w:cs="Times New Roman"/>
                <w:color w:val="000000"/>
                <w:lang w:val="en-US" w:eastAsia="it-IT"/>
              </w:rPr>
              <w:t xml:space="preserve">16,27% </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b/>
                <w:bCs/>
                <w:color w:val="000000"/>
                <w:lang w:val="en-US" w:eastAsia="it-IT"/>
              </w:rPr>
            </w:pPr>
            <w:r w:rsidRPr="00FF17EC">
              <w:rPr>
                <w:rFonts w:cs="Times New Roman"/>
                <w:b/>
                <w:bCs/>
                <w:color w:val="000000"/>
                <w:lang w:val="en-US" w:eastAsia="it-IT"/>
              </w:rPr>
              <w:t xml:space="preserve">PA 3 - Promoting "people to people" exchanges </w:t>
            </w:r>
          </w:p>
        </w:tc>
        <w:tc>
          <w:tcPr>
            <w:tcW w:w="1417" w:type="dxa"/>
            <w:vAlign w:val="bottom"/>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15,92%</w:t>
            </w:r>
          </w:p>
        </w:tc>
        <w:tc>
          <w:tcPr>
            <w:tcW w:w="1276" w:type="dxa"/>
            <w:vAlign w:val="bottom"/>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13,30%</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3.1 Support the development of civil society and local communities</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0,30%</w:t>
            </w:r>
          </w:p>
        </w:tc>
        <w:tc>
          <w:tcPr>
            <w:tcW w:w="1276" w:type="dxa"/>
            <w:vAlign w:val="bottom"/>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3,66%</w:t>
            </w:r>
          </w:p>
        </w:tc>
      </w:tr>
      <w:tr w:rsidR="004B54BA" w:rsidRPr="00FF17EC" w:rsidTr="004B54BA">
        <w:trPr>
          <w:trHeight w:val="345"/>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3.2 Improve local governance in relation to the provision of local services to communities in the border areas</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3,09%</w:t>
            </w:r>
          </w:p>
        </w:tc>
        <w:tc>
          <w:tcPr>
            <w:tcW w:w="1276" w:type="dxa"/>
            <w:vAlign w:val="bottom"/>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1,66%</w:t>
            </w:r>
          </w:p>
        </w:tc>
      </w:tr>
      <w:tr w:rsidR="004B54BA" w:rsidRPr="00FF17EC" w:rsidTr="004B54BA">
        <w:trPr>
          <w:trHeight w:val="495"/>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3.3 Increase educational, social cultural and sporting exchanges</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10,67%</w:t>
            </w:r>
          </w:p>
        </w:tc>
        <w:tc>
          <w:tcPr>
            <w:tcW w:w="1276" w:type="dxa"/>
            <w:vAlign w:val="bottom"/>
          </w:tcPr>
          <w:p w:rsidR="004B54BA" w:rsidRPr="00FF17EC" w:rsidRDefault="004B54BA" w:rsidP="004B54BA">
            <w:pPr>
              <w:keepNext/>
              <w:spacing w:after="0" w:line="240" w:lineRule="auto"/>
              <w:jc w:val="right"/>
              <w:rPr>
                <w:rFonts w:cs="Times New Roman"/>
                <w:color w:val="000000"/>
                <w:lang w:val="en-US" w:eastAsia="it-IT"/>
              </w:rPr>
            </w:pPr>
            <w:r w:rsidRPr="00FF17EC">
              <w:rPr>
                <w:rFonts w:cs="Times New Roman"/>
                <w:color w:val="000000"/>
                <w:lang w:val="en-US" w:eastAsia="it-IT"/>
              </w:rPr>
              <w:t>7,97%</w:t>
            </w:r>
          </w:p>
        </w:tc>
      </w:tr>
      <w:tr w:rsidR="004B54BA" w:rsidRPr="00FF17EC" w:rsidTr="004B54BA">
        <w:trPr>
          <w:trHeight w:val="390"/>
        </w:trPr>
        <w:tc>
          <w:tcPr>
            <w:tcW w:w="6111" w:type="dxa"/>
            <w:shd w:val="clear" w:color="auto" w:fill="auto"/>
            <w:hideMark/>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3.4 Enhance social and cultural integration of border area</w:t>
            </w:r>
          </w:p>
        </w:tc>
        <w:tc>
          <w:tcPr>
            <w:tcW w:w="1417" w:type="dxa"/>
            <w:vAlign w:val="bottom"/>
          </w:tcPr>
          <w:p w:rsidR="004B54BA" w:rsidRPr="00FF17EC" w:rsidRDefault="004B54BA" w:rsidP="004B54BA">
            <w:pPr>
              <w:keepNext/>
              <w:spacing w:after="0" w:line="240" w:lineRule="auto"/>
              <w:jc w:val="right"/>
              <w:rPr>
                <w:rFonts w:cs="Times New Roman"/>
                <w:bCs/>
                <w:color w:val="000000"/>
                <w:lang w:val="en-US" w:eastAsia="it-IT"/>
              </w:rPr>
            </w:pPr>
            <w:r w:rsidRPr="00FF17EC">
              <w:rPr>
                <w:rFonts w:cs="Times New Roman"/>
                <w:bCs/>
                <w:color w:val="000000"/>
                <w:lang w:val="en-US" w:eastAsia="it-IT"/>
              </w:rPr>
              <w:t>1,86%</w:t>
            </w:r>
          </w:p>
        </w:tc>
        <w:tc>
          <w:tcPr>
            <w:tcW w:w="1276" w:type="dxa"/>
            <w:vAlign w:val="bottom"/>
          </w:tcPr>
          <w:p w:rsidR="004B54BA" w:rsidRPr="00FF17EC" w:rsidRDefault="004B54BA" w:rsidP="004B54BA">
            <w:pPr>
              <w:keepNext/>
              <w:spacing w:after="0" w:line="240" w:lineRule="auto"/>
              <w:jc w:val="left"/>
              <w:rPr>
                <w:rFonts w:cs="Times New Roman"/>
                <w:color w:val="000000"/>
                <w:lang w:val="en-US" w:eastAsia="it-IT"/>
              </w:rPr>
            </w:pPr>
            <w:r w:rsidRPr="00FF17EC">
              <w:rPr>
                <w:rFonts w:cs="Times New Roman"/>
                <w:color w:val="000000"/>
                <w:lang w:val="en-US" w:eastAsia="it-IT"/>
              </w:rPr>
              <w:t> -</w:t>
            </w:r>
          </w:p>
        </w:tc>
      </w:tr>
      <w:tr w:rsidR="004B54BA" w:rsidRPr="00FF17EC" w:rsidTr="004B54BA">
        <w:trPr>
          <w:trHeight w:val="345"/>
        </w:trPr>
        <w:tc>
          <w:tcPr>
            <w:tcW w:w="6111" w:type="dxa"/>
            <w:shd w:val="clear" w:color="auto" w:fill="auto"/>
            <w:noWrap/>
            <w:vAlign w:val="bottom"/>
            <w:hideMark/>
          </w:tcPr>
          <w:p w:rsidR="004B54BA" w:rsidRPr="00FF17EC" w:rsidRDefault="004B54BA" w:rsidP="004B54BA">
            <w:pPr>
              <w:keepNext/>
              <w:spacing w:after="0" w:line="240" w:lineRule="auto"/>
              <w:jc w:val="left"/>
              <w:rPr>
                <w:rFonts w:cs="Times New Roman"/>
                <w:b/>
                <w:bCs/>
                <w:color w:val="000000"/>
                <w:lang w:val="en-US" w:eastAsia="it-IT"/>
              </w:rPr>
            </w:pPr>
            <w:r w:rsidRPr="00FF17EC">
              <w:rPr>
                <w:rFonts w:cs="Times New Roman"/>
                <w:b/>
                <w:bCs/>
                <w:color w:val="000000"/>
                <w:lang w:val="en-US" w:eastAsia="it-IT"/>
              </w:rPr>
              <w:t xml:space="preserve"> total </w:t>
            </w:r>
          </w:p>
        </w:tc>
        <w:tc>
          <w:tcPr>
            <w:tcW w:w="1417" w:type="dxa"/>
            <w:vAlign w:val="bottom"/>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100,00%</w:t>
            </w:r>
          </w:p>
        </w:tc>
        <w:tc>
          <w:tcPr>
            <w:tcW w:w="1276" w:type="dxa"/>
            <w:vAlign w:val="bottom"/>
          </w:tcPr>
          <w:p w:rsidR="004B54BA" w:rsidRPr="00FF17EC" w:rsidRDefault="004B54BA" w:rsidP="004B54BA">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100,00%</w:t>
            </w:r>
          </w:p>
        </w:tc>
      </w:tr>
    </w:tbl>
    <w:p w:rsidR="004B54BA" w:rsidRPr="00FF17EC" w:rsidRDefault="004B54BA" w:rsidP="004B54BA">
      <w:pPr>
        <w:pStyle w:val="Caption"/>
        <w:rPr>
          <w:sz w:val="22"/>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11</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1</w:t>
      </w:r>
      <w:r w:rsidR="00085686" w:rsidRPr="00FF17EC">
        <w:rPr>
          <w:sz w:val="22"/>
        </w:rPr>
        <w:fldChar w:fldCharType="end"/>
      </w:r>
      <w:r w:rsidRPr="00FF17EC">
        <w:rPr>
          <w:sz w:val="22"/>
        </w:rPr>
        <w:t xml:space="preserve"> Allocation of funds in the first and second call</w:t>
      </w:r>
    </w:p>
    <w:p w:rsidR="004B54BA" w:rsidRPr="00FF17EC" w:rsidRDefault="004B54BA" w:rsidP="004B54BA">
      <w:pPr>
        <w:rPr>
          <w:lang w:eastAsia="it-IT"/>
        </w:rPr>
      </w:pPr>
    </w:p>
    <w:p w:rsidR="004B54BA" w:rsidRPr="00FF17EC" w:rsidRDefault="004B54BA" w:rsidP="004B54BA">
      <w:pPr>
        <w:rPr>
          <w:lang w:eastAsia="it-IT"/>
        </w:rPr>
      </w:pPr>
      <w:r w:rsidRPr="00FF17EC">
        <w:rPr>
          <w:lang w:eastAsia="it-IT"/>
        </w:rPr>
        <w:lastRenderedPageBreak/>
        <w:t>The type of project partners include first Public administrations, that were awarded the largest part of funds. Educational and Health care services institutions are the second most relevant type of partners in terms of funds allocated. NGOs and cultural organizations are present only in the priority 3. In the priority 2, as already discussed, are present only public administrations.</w:t>
      </w:r>
    </w:p>
    <w:p w:rsidR="004B54BA" w:rsidRPr="00FF17EC" w:rsidRDefault="00634723" w:rsidP="004B54BA">
      <w:pPr>
        <w:rPr>
          <w:lang w:eastAsia="it-IT"/>
        </w:rPr>
      </w:pPr>
      <w:r w:rsidRPr="00FF17EC">
        <w:rPr>
          <w:lang w:eastAsia="it-IT"/>
        </w:rPr>
        <w:t xml:space="preserve"> </w:t>
      </w:r>
    </w:p>
    <w:tbl>
      <w:tblPr>
        <w:tblW w:w="6149" w:type="dxa"/>
        <w:jc w:val="center"/>
        <w:tblCellMar>
          <w:left w:w="70" w:type="dxa"/>
          <w:right w:w="70" w:type="dxa"/>
        </w:tblCellMar>
        <w:tblLook w:val="04A0" w:firstRow="1" w:lastRow="0" w:firstColumn="1" w:lastColumn="0" w:noHBand="0" w:noVBand="1"/>
      </w:tblPr>
      <w:tblGrid>
        <w:gridCol w:w="2535"/>
        <w:gridCol w:w="22"/>
        <w:gridCol w:w="810"/>
        <w:gridCol w:w="109"/>
        <w:gridCol w:w="701"/>
        <w:gridCol w:w="8"/>
        <w:gridCol w:w="709"/>
        <w:gridCol w:w="93"/>
        <w:gridCol w:w="1120"/>
        <w:gridCol w:w="42"/>
      </w:tblGrid>
      <w:tr w:rsidR="004B54BA" w:rsidRPr="00FF17EC" w:rsidTr="004B54BA">
        <w:trPr>
          <w:trHeight w:val="255"/>
          <w:jc w:val="center"/>
        </w:trPr>
        <w:tc>
          <w:tcPr>
            <w:tcW w:w="6149" w:type="dxa"/>
            <w:gridSpan w:val="10"/>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Arial"/>
                <w:b/>
                <w:lang w:val="en-US" w:eastAsia="it-IT"/>
              </w:rPr>
            </w:pPr>
            <w:r w:rsidRPr="00FF17EC">
              <w:rPr>
                <w:rFonts w:cs="Arial"/>
                <w:b/>
                <w:lang w:val="en-US" w:eastAsia="it-IT"/>
              </w:rPr>
              <w:t xml:space="preserve">Project budget per type of organization lead partner </w:t>
            </w:r>
          </w:p>
          <w:p w:rsidR="004B54BA" w:rsidRPr="00FF17EC" w:rsidRDefault="004B54BA" w:rsidP="004B54BA">
            <w:pPr>
              <w:keepNext/>
              <w:spacing w:after="0" w:line="240" w:lineRule="auto"/>
              <w:jc w:val="left"/>
              <w:rPr>
                <w:rFonts w:cs="Arial"/>
                <w:b/>
                <w:lang w:val="en-US" w:eastAsia="it-IT"/>
              </w:rPr>
            </w:pPr>
            <w:r w:rsidRPr="00FF17EC">
              <w:rPr>
                <w:rFonts w:cs="Arial"/>
                <w:b/>
                <w:lang w:val="en-US" w:eastAsia="it-IT"/>
              </w:rPr>
              <w:t>First Call</w:t>
            </w:r>
          </w:p>
        </w:tc>
      </w:tr>
      <w:tr w:rsidR="004B54BA" w:rsidRPr="00FF17EC" w:rsidTr="004B54BA">
        <w:trPr>
          <w:trHeight w:val="255"/>
          <w:jc w:val="center"/>
        </w:trPr>
        <w:tc>
          <w:tcPr>
            <w:tcW w:w="25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en-US" w:eastAsia="it-IT"/>
              </w:rPr>
            </w:pPr>
            <w:r w:rsidRPr="00FF17EC">
              <w:rPr>
                <w:rFonts w:cs="Arial"/>
                <w:lang w:val="en-US" w:eastAsia="it-IT"/>
              </w:rPr>
              <w:t> </w:t>
            </w:r>
          </w:p>
        </w:tc>
        <w:tc>
          <w:tcPr>
            <w:tcW w:w="2359" w:type="dxa"/>
            <w:gridSpan w:val="6"/>
            <w:tcBorders>
              <w:top w:val="single" w:sz="4" w:space="0" w:color="auto"/>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center"/>
              <w:rPr>
                <w:rFonts w:cs="Arial"/>
                <w:lang w:val="it-IT" w:eastAsia="it-IT"/>
              </w:rPr>
            </w:pPr>
            <w:r w:rsidRPr="00FF17EC">
              <w:rPr>
                <w:rFonts w:cs="Arial"/>
                <w:lang w:val="it-IT" w:eastAsia="it-IT"/>
              </w:rPr>
              <w:t>Priority</w:t>
            </w:r>
          </w:p>
        </w:tc>
        <w:tc>
          <w:tcPr>
            <w:tcW w:w="1255" w:type="dxa"/>
            <w:gridSpan w:val="3"/>
            <w:tcBorders>
              <w:top w:val="single" w:sz="4" w:space="0" w:color="auto"/>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r w:rsidRPr="00FF17EC">
              <w:rPr>
                <w:rFonts w:cs="Arial"/>
                <w:lang w:val="it-IT" w:eastAsia="it-IT"/>
              </w:rPr>
              <w:t> </w:t>
            </w:r>
          </w:p>
        </w:tc>
      </w:tr>
      <w:tr w:rsidR="004B54BA" w:rsidRPr="00FF17EC" w:rsidTr="004B54BA">
        <w:trPr>
          <w:trHeight w:val="255"/>
          <w:jc w:val="center"/>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Type of organization</w:t>
            </w:r>
          </w:p>
        </w:tc>
        <w:tc>
          <w:tcPr>
            <w:tcW w:w="941" w:type="dxa"/>
            <w:gridSpan w:val="3"/>
            <w:tcBorders>
              <w:top w:val="nil"/>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2</w:t>
            </w:r>
          </w:p>
        </w:tc>
        <w:tc>
          <w:tcPr>
            <w:tcW w:w="709" w:type="dxa"/>
            <w:tcBorders>
              <w:top w:val="nil"/>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3</w:t>
            </w:r>
          </w:p>
        </w:tc>
        <w:tc>
          <w:tcPr>
            <w:tcW w:w="1255" w:type="dxa"/>
            <w:gridSpan w:val="3"/>
            <w:tcBorders>
              <w:top w:val="nil"/>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r w:rsidRPr="00FF17EC">
              <w:rPr>
                <w:rFonts w:cs="Arial"/>
                <w:lang w:val="it-IT" w:eastAsia="it-IT"/>
              </w:rPr>
              <w:t>total</w:t>
            </w:r>
          </w:p>
        </w:tc>
      </w:tr>
      <w:tr w:rsidR="004B54BA" w:rsidRPr="00FF17EC" w:rsidTr="004B54BA">
        <w:trPr>
          <w:trHeight w:val="255"/>
          <w:jc w:val="center"/>
        </w:trPr>
        <w:tc>
          <w:tcPr>
            <w:tcW w:w="2535"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Business</w:t>
            </w:r>
          </w:p>
        </w:tc>
        <w:tc>
          <w:tcPr>
            <w:tcW w:w="941"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6%</w:t>
            </w:r>
          </w:p>
        </w:tc>
        <w:tc>
          <w:tcPr>
            <w:tcW w:w="709" w:type="dxa"/>
            <w:gridSpan w:val="2"/>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p>
        </w:tc>
        <w:tc>
          <w:tcPr>
            <w:tcW w:w="709"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0%</w:t>
            </w:r>
          </w:p>
        </w:tc>
        <w:tc>
          <w:tcPr>
            <w:tcW w:w="1255"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3%</w:t>
            </w:r>
          </w:p>
        </w:tc>
      </w:tr>
      <w:tr w:rsidR="004B54BA" w:rsidRPr="00FF17EC" w:rsidTr="004B54BA">
        <w:trPr>
          <w:trHeight w:val="255"/>
          <w:jc w:val="center"/>
        </w:trPr>
        <w:tc>
          <w:tcPr>
            <w:tcW w:w="2535"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Cultural</w:t>
            </w:r>
          </w:p>
        </w:tc>
        <w:tc>
          <w:tcPr>
            <w:tcW w:w="941"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4%</w:t>
            </w:r>
          </w:p>
        </w:tc>
        <w:tc>
          <w:tcPr>
            <w:tcW w:w="709" w:type="dxa"/>
            <w:gridSpan w:val="2"/>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p>
        </w:tc>
        <w:tc>
          <w:tcPr>
            <w:tcW w:w="709"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37%</w:t>
            </w:r>
          </w:p>
        </w:tc>
        <w:tc>
          <w:tcPr>
            <w:tcW w:w="1255"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9%</w:t>
            </w:r>
          </w:p>
        </w:tc>
      </w:tr>
      <w:tr w:rsidR="004B54BA" w:rsidRPr="00FF17EC" w:rsidTr="004B54BA">
        <w:trPr>
          <w:trHeight w:val="255"/>
          <w:jc w:val="center"/>
        </w:trPr>
        <w:tc>
          <w:tcPr>
            <w:tcW w:w="2535"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Educational</w:t>
            </w:r>
          </w:p>
        </w:tc>
        <w:tc>
          <w:tcPr>
            <w:tcW w:w="941"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p>
        </w:tc>
        <w:tc>
          <w:tcPr>
            <w:tcW w:w="709" w:type="dxa"/>
            <w:gridSpan w:val="2"/>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p>
        </w:tc>
        <w:tc>
          <w:tcPr>
            <w:tcW w:w="709"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26%</w:t>
            </w:r>
          </w:p>
        </w:tc>
        <w:tc>
          <w:tcPr>
            <w:tcW w:w="1255"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11%</w:t>
            </w:r>
          </w:p>
        </w:tc>
      </w:tr>
      <w:tr w:rsidR="004B54BA" w:rsidRPr="00FF17EC" w:rsidTr="004B54BA">
        <w:trPr>
          <w:trHeight w:val="255"/>
          <w:jc w:val="center"/>
        </w:trPr>
        <w:tc>
          <w:tcPr>
            <w:tcW w:w="2535"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 xml:space="preserve">Health care services </w:t>
            </w:r>
          </w:p>
        </w:tc>
        <w:tc>
          <w:tcPr>
            <w:tcW w:w="941"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15%</w:t>
            </w:r>
          </w:p>
        </w:tc>
        <w:tc>
          <w:tcPr>
            <w:tcW w:w="709" w:type="dxa"/>
            <w:gridSpan w:val="2"/>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p>
        </w:tc>
        <w:tc>
          <w:tcPr>
            <w:tcW w:w="709"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p>
        </w:tc>
        <w:tc>
          <w:tcPr>
            <w:tcW w:w="1255"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9%</w:t>
            </w:r>
          </w:p>
        </w:tc>
      </w:tr>
      <w:tr w:rsidR="004B54BA" w:rsidRPr="00FF17EC" w:rsidTr="004B54BA">
        <w:trPr>
          <w:trHeight w:val="255"/>
          <w:jc w:val="center"/>
        </w:trPr>
        <w:tc>
          <w:tcPr>
            <w:tcW w:w="2535"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NGO</w:t>
            </w:r>
          </w:p>
        </w:tc>
        <w:tc>
          <w:tcPr>
            <w:tcW w:w="941"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p>
        </w:tc>
        <w:tc>
          <w:tcPr>
            <w:tcW w:w="709" w:type="dxa"/>
            <w:gridSpan w:val="2"/>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left"/>
              <w:rPr>
                <w:rFonts w:cs="Arial"/>
                <w:lang w:val="it-IT" w:eastAsia="it-IT"/>
              </w:rPr>
            </w:pPr>
          </w:p>
        </w:tc>
        <w:tc>
          <w:tcPr>
            <w:tcW w:w="709"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23%</w:t>
            </w:r>
          </w:p>
        </w:tc>
        <w:tc>
          <w:tcPr>
            <w:tcW w:w="1255"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4%</w:t>
            </w:r>
          </w:p>
        </w:tc>
      </w:tr>
      <w:tr w:rsidR="004B54BA" w:rsidRPr="00FF17EC" w:rsidTr="004B54BA">
        <w:trPr>
          <w:trHeight w:val="255"/>
          <w:jc w:val="center"/>
        </w:trPr>
        <w:tc>
          <w:tcPr>
            <w:tcW w:w="2535"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Public Administration</w:t>
            </w:r>
          </w:p>
        </w:tc>
        <w:tc>
          <w:tcPr>
            <w:tcW w:w="941"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64%</w:t>
            </w:r>
          </w:p>
        </w:tc>
        <w:tc>
          <w:tcPr>
            <w:tcW w:w="709" w:type="dxa"/>
            <w:gridSpan w:val="2"/>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100%</w:t>
            </w:r>
          </w:p>
        </w:tc>
        <w:tc>
          <w:tcPr>
            <w:tcW w:w="709" w:type="dxa"/>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14%</w:t>
            </w:r>
          </w:p>
        </w:tc>
        <w:tc>
          <w:tcPr>
            <w:tcW w:w="1255" w:type="dxa"/>
            <w:gridSpan w:val="3"/>
            <w:tcBorders>
              <w:top w:val="nil"/>
              <w:left w:val="nil"/>
              <w:bottom w:val="nil"/>
              <w:right w:val="nil"/>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64%</w:t>
            </w:r>
          </w:p>
        </w:tc>
      </w:tr>
      <w:tr w:rsidR="004B54BA" w:rsidRPr="00FF17EC" w:rsidTr="004B54BA">
        <w:trPr>
          <w:trHeight w:val="255"/>
          <w:jc w:val="center"/>
        </w:trPr>
        <w:tc>
          <w:tcPr>
            <w:tcW w:w="25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Total</w:t>
            </w:r>
          </w:p>
        </w:tc>
        <w:tc>
          <w:tcPr>
            <w:tcW w:w="941" w:type="dxa"/>
            <w:gridSpan w:val="3"/>
            <w:tcBorders>
              <w:top w:val="single" w:sz="4" w:space="0" w:color="auto"/>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100%</w:t>
            </w:r>
          </w:p>
        </w:tc>
        <w:tc>
          <w:tcPr>
            <w:tcW w:w="709" w:type="dxa"/>
            <w:gridSpan w:val="2"/>
            <w:tcBorders>
              <w:top w:val="single" w:sz="4" w:space="0" w:color="auto"/>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100%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100%</w:t>
            </w:r>
          </w:p>
        </w:tc>
        <w:tc>
          <w:tcPr>
            <w:tcW w:w="1255" w:type="dxa"/>
            <w:gridSpan w:val="3"/>
            <w:tcBorders>
              <w:top w:val="single" w:sz="4" w:space="0" w:color="auto"/>
              <w:left w:val="nil"/>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Arial"/>
                <w:lang w:val="it-IT" w:eastAsia="it-IT"/>
              </w:rPr>
            </w:pPr>
            <w:r w:rsidRPr="00FF17EC">
              <w:rPr>
                <w:rFonts w:cs="Arial"/>
                <w:lang w:val="it-IT" w:eastAsia="it-IT"/>
              </w:rPr>
              <w:t>100%</w:t>
            </w:r>
          </w:p>
        </w:tc>
      </w:tr>
      <w:tr w:rsidR="004B54BA" w:rsidRPr="00FF17EC" w:rsidTr="004B54BA">
        <w:trPr>
          <w:gridAfter w:val="1"/>
          <w:wAfter w:w="42" w:type="dxa"/>
          <w:trHeight w:val="285"/>
          <w:jc w:val="center"/>
        </w:trPr>
        <w:tc>
          <w:tcPr>
            <w:tcW w:w="4987" w:type="dxa"/>
            <w:gridSpan w:val="8"/>
            <w:tcBorders>
              <w:top w:val="nil"/>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jc w:val="left"/>
              <w:rPr>
                <w:rFonts w:cs="Times New Roman"/>
                <w:b/>
                <w:color w:val="000000"/>
                <w:lang w:val="en-US" w:eastAsia="it-IT"/>
              </w:rPr>
            </w:pPr>
            <w:r w:rsidRPr="00FF17EC">
              <w:rPr>
                <w:rFonts w:cs="Times New Roman"/>
                <w:b/>
                <w:color w:val="000000"/>
                <w:lang w:val="en-US" w:eastAsia="it-IT"/>
              </w:rPr>
              <w:t>Second Call</w:t>
            </w:r>
          </w:p>
        </w:tc>
        <w:tc>
          <w:tcPr>
            <w:tcW w:w="1120" w:type="dxa"/>
            <w:tcBorders>
              <w:top w:val="nil"/>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en-US" w:eastAsia="it-IT"/>
              </w:rPr>
            </w:pPr>
          </w:p>
        </w:tc>
      </w:tr>
      <w:tr w:rsidR="004B54BA" w:rsidRPr="00FF17EC" w:rsidTr="004B54BA">
        <w:trPr>
          <w:gridAfter w:val="1"/>
          <w:wAfter w:w="42" w:type="dxa"/>
          <w:trHeight w:val="300"/>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en-US" w:eastAsia="it-IT"/>
              </w:rPr>
            </w:pPr>
            <w:r w:rsidRPr="00FF17EC">
              <w:rPr>
                <w:rFonts w:cs="Times New Roman"/>
                <w:color w:val="000000"/>
                <w:lang w:val="en-US" w:eastAsia="it-IT"/>
              </w:rPr>
              <w:t> </w:t>
            </w:r>
          </w:p>
        </w:tc>
        <w:tc>
          <w:tcPr>
            <w:tcW w:w="243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center"/>
              <w:rPr>
                <w:rFonts w:cs="Times New Roman"/>
                <w:color w:val="000000"/>
                <w:lang w:val="it-IT" w:eastAsia="it-IT"/>
              </w:rPr>
            </w:pPr>
            <w:r w:rsidRPr="00FF17EC">
              <w:rPr>
                <w:rFonts w:cs="Times New Roman"/>
                <w:color w:val="000000"/>
                <w:lang w:val="it-IT" w:eastAsia="it-IT"/>
              </w:rPr>
              <w:t>Priority</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it-IT" w:eastAsia="it-IT"/>
              </w:rPr>
            </w:pPr>
            <w:r w:rsidRPr="00FF17EC">
              <w:rPr>
                <w:rFonts w:cs="Times New Roman"/>
                <w:color w:val="000000"/>
                <w:lang w:val="it-IT" w:eastAsia="it-IT"/>
              </w:rPr>
              <w:t> </w:t>
            </w:r>
          </w:p>
        </w:tc>
      </w:tr>
      <w:tr w:rsidR="004B54BA" w:rsidRPr="00FF17EC" w:rsidTr="004B54BA">
        <w:trPr>
          <w:gridAfter w:val="1"/>
          <w:wAfter w:w="42" w:type="dxa"/>
          <w:trHeight w:val="300"/>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Type of organization</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1</w:t>
            </w:r>
          </w:p>
        </w:tc>
        <w:tc>
          <w:tcPr>
            <w:tcW w:w="81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2</w:t>
            </w:r>
          </w:p>
        </w:tc>
        <w:tc>
          <w:tcPr>
            <w:tcW w:w="8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3</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it-IT" w:eastAsia="it-IT"/>
              </w:rPr>
            </w:pPr>
            <w:r w:rsidRPr="00FF17EC">
              <w:rPr>
                <w:rFonts w:cs="Times New Roman"/>
                <w:color w:val="000000"/>
                <w:lang w:val="it-IT" w:eastAsia="it-IT"/>
              </w:rPr>
              <w:t>total</w:t>
            </w:r>
          </w:p>
        </w:tc>
      </w:tr>
      <w:tr w:rsidR="004B54BA" w:rsidRPr="00FF17EC" w:rsidTr="004B54BA">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Business</w:t>
            </w:r>
          </w:p>
        </w:tc>
        <w:tc>
          <w:tcPr>
            <w:tcW w:w="81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8%</w:t>
            </w:r>
          </w:p>
        </w:tc>
        <w:tc>
          <w:tcPr>
            <w:tcW w:w="810"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it-IT" w:eastAsia="it-IT"/>
              </w:rPr>
            </w:pPr>
          </w:p>
        </w:tc>
        <w:tc>
          <w:tcPr>
            <w:tcW w:w="810" w:type="dxa"/>
            <w:gridSpan w:val="3"/>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8%</w:t>
            </w:r>
          </w:p>
        </w:tc>
        <w:tc>
          <w:tcPr>
            <w:tcW w:w="112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6%</w:t>
            </w:r>
          </w:p>
        </w:tc>
      </w:tr>
      <w:tr w:rsidR="004B54BA" w:rsidRPr="00FF17EC" w:rsidTr="004B54BA">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Cultural</w:t>
            </w:r>
          </w:p>
        </w:tc>
        <w:tc>
          <w:tcPr>
            <w:tcW w:w="81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6%</w:t>
            </w:r>
          </w:p>
        </w:tc>
        <w:tc>
          <w:tcPr>
            <w:tcW w:w="810"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it-IT" w:eastAsia="it-IT"/>
              </w:rPr>
            </w:pPr>
          </w:p>
        </w:tc>
        <w:tc>
          <w:tcPr>
            <w:tcW w:w="810" w:type="dxa"/>
            <w:gridSpan w:val="3"/>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11%</w:t>
            </w:r>
          </w:p>
        </w:tc>
        <w:tc>
          <w:tcPr>
            <w:tcW w:w="112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5%</w:t>
            </w:r>
          </w:p>
        </w:tc>
      </w:tr>
      <w:tr w:rsidR="004B54BA" w:rsidRPr="00FF17EC" w:rsidTr="004B54BA">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Educational</w:t>
            </w:r>
          </w:p>
        </w:tc>
        <w:tc>
          <w:tcPr>
            <w:tcW w:w="81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it-IT" w:eastAsia="it-IT"/>
              </w:rPr>
            </w:pPr>
          </w:p>
        </w:tc>
        <w:tc>
          <w:tcPr>
            <w:tcW w:w="810"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it-IT" w:eastAsia="it-IT"/>
              </w:rPr>
            </w:pPr>
          </w:p>
        </w:tc>
        <w:tc>
          <w:tcPr>
            <w:tcW w:w="810" w:type="dxa"/>
            <w:gridSpan w:val="3"/>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27%</w:t>
            </w:r>
          </w:p>
        </w:tc>
        <w:tc>
          <w:tcPr>
            <w:tcW w:w="112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4%</w:t>
            </w:r>
          </w:p>
        </w:tc>
      </w:tr>
      <w:tr w:rsidR="004B54BA" w:rsidRPr="00FF17EC" w:rsidTr="004B54BA">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 xml:space="preserve">Health care services </w:t>
            </w:r>
          </w:p>
        </w:tc>
        <w:tc>
          <w:tcPr>
            <w:tcW w:w="81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9%</w:t>
            </w:r>
          </w:p>
        </w:tc>
        <w:tc>
          <w:tcPr>
            <w:tcW w:w="810"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it-IT" w:eastAsia="it-IT"/>
              </w:rPr>
            </w:pPr>
          </w:p>
        </w:tc>
        <w:tc>
          <w:tcPr>
            <w:tcW w:w="810" w:type="dxa"/>
            <w:gridSpan w:val="3"/>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it-IT" w:eastAsia="it-IT"/>
              </w:rPr>
            </w:pPr>
          </w:p>
        </w:tc>
        <w:tc>
          <w:tcPr>
            <w:tcW w:w="112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6%</w:t>
            </w:r>
          </w:p>
        </w:tc>
      </w:tr>
      <w:tr w:rsidR="004B54BA" w:rsidRPr="00FF17EC" w:rsidTr="004B54BA">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NGO</w:t>
            </w:r>
          </w:p>
        </w:tc>
        <w:tc>
          <w:tcPr>
            <w:tcW w:w="81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1%</w:t>
            </w:r>
          </w:p>
        </w:tc>
        <w:tc>
          <w:tcPr>
            <w:tcW w:w="810" w:type="dxa"/>
            <w:gridSpan w:val="2"/>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left"/>
              <w:rPr>
                <w:rFonts w:cs="Times New Roman"/>
                <w:color w:val="000000"/>
                <w:lang w:val="it-IT" w:eastAsia="it-IT"/>
              </w:rPr>
            </w:pPr>
          </w:p>
        </w:tc>
        <w:tc>
          <w:tcPr>
            <w:tcW w:w="810" w:type="dxa"/>
            <w:gridSpan w:val="3"/>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26%</w:t>
            </w:r>
          </w:p>
        </w:tc>
        <w:tc>
          <w:tcPr>
            <w:tcW w:w="1120"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4%</w:t>
            </w:r>
          </w:p>
        </w:tc>
      </w:tr>
      <w:tr w:rsidR="004B54BA" w:rsidRPr="00FF17EC" w:rsidTr="004B54BA">
        <w:trPr>
          <w:gridAfter w:val="1"/>
          <w:wAfter w:w="42" w:type="dxa"/>
          <w:trHeight w:val="300"/>
          <w:jc w:val="center"/>
        </w:trPr>
        <w:tc>
          <w:tcPr>
            <w:tcW w:w="2557" w:type="dxa"/>
            <w:gridSpan w:val="2"/>
            <w:tcBorders>
              <w:top w:val="nil"/>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Public Administration</w:t>
            </w:r>
          </w:p>
        </w:tc>
        <w:tc>
          <w:tcPr>
            <w:tcW w:w="810" w:type="dxa"/>
            <w:tcBorders>
              <w:top w:val="nil"/>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76%</w:t>
            </w:r>
          </w:p>
        </w:tc>
        <w:tc>
          <w:tcPr>
            <w:tcW w:w="810" w:type="dxa"/>
            <w:gridSpan w:val="2"/>
            <w:tcBorders>
              <w:top w:val="nil"/>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100%</w:t>
            </w:r>
          </w:p>
        </w:tc>
        <w:tc>
          <w:tcPr>
            <w:tcW w:w="810" w:type="dxa"/>
            <w:gridSpan w:val="3"/>
            <w:tcBorders>
              <w:top w:val="nil"/>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29%</w:t>
            </w:r>
          </w:p>
        </w:tc>
        <w:tc>
          <w:tcPr>
            <w:tcW w:w="1120" w:type="dxa"/>
            <w:tcBorders>
              <w:top w:val="nil"/>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75%</w:t>
            </w:r>
          </w:p>
        </w:tc>
      </w:tr>
      <w:tr w:rsidR="004B54BA" w:rsidRPr="00FF17EC" w:rsidTr="004B54BA">
        <w:trPr>
          <w:gridAfter w:val="1"/>
          <w:wAfter w:w="42" w:type="dxa"/>
          <w:trHeight w:val="300"/>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Total</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100%</w:t>
            </w:r>
          </w:p>
        </w:tc>
        <w:tc>
          <w:tcPr>
            <w:tcW w:w="81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100%</w:t>
            </w:r>
          </w:p>
        </w:tc>
        <w:tc>
          <w:tcPr>
            <w:tcW w:w="8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jc w:val="right"/>
              <w:rPr>
                <w:rFonts w:cs="Times New Roman"/>
                <w:color w:val="000000"/>
                <w:lang w:val="it-IT" w:eastAsia="it-IT"/>
              </w:rPr>
            </w:pPr>
            <w:r w:rsidRPr="00FF17EC">
              <w:rPr>
                <w:rFonts w:cs="Times New Roman"/>
                <w:color w:val="000000"/>
                <w:lang w:val="it-IT" w:eastAsia="it-IT"/>
              </w:rPr>
              <w:t>100%</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jc w:val="right"/>
              <w:rPr>
                <w:rFonts w:cs="Times New Roman"/>
                <w:color w:val="000000"/>
                <w:lang w:val="it-IT" w:eastAsia="it-IT"/>
              </w:rPr>
            </w:pPr>
            <w:r w:rsidRPr="00FF17EC">
              <w:rPr>
                <w:rFonts w:cs="Times New Roman"/>
                <w:color w:val="000000"/>
                <w:lang w:val="it-IT" w:eastAsia="it-IT"/>
              </w:rPr>
              <w:t>100%</w:t>
            </w:r>
          </w:p>
        </w:tc>
      </w:tr>
    </w:tbl>
    <w:p w:rsidR="004B54BA" w:rsidRPr="00FF17EC" w:rsidRDefault="004B54BA" w:rsidP="004B54BA">
      <w:pPr>
        <w:pStyle w:val="Caption"/>
        <w:ind w:left="1560"/>
        <w:rPr>
          <w:b w:val="0"/>
          <w:sz w:val="22"/>
          <w:lang w:eastAsia="it-IT"/>
        </w:rPr>
      </w:pPr>
      <w:r w:rsidRPr="00FF17EC">
        <w:rPr>
          <w:sz w:val="22"/>
        </w:rPr>
        <w:t xml:space="preserve">Table </w:t>
      </w:r>
      <w:r w:rsidR="00085686" w:rsidRPr="00FF17EC">
        <w:rPr>
          <w:sz w:val="22"/>
        </w:rPr>
        <w:fldChar w:fldCharType="begin"/>
      </w:r>
      <w:r w:rsidR="005C4AE7" w:rsidRPr="00FF17EC">
        <w:rPr>
          <w:sz w:val="22"/>
        </w:rPr>
        <w:instrText xml:space="preserve"> STYLEREF 1 \s </w:instrText>
      </w:r>
      <w:r w:rsidR="00085686" w:rsidRPr="00FF17EC">
        <w:rPr>
          <w:sz w:val="22"/>
        </w:rPr>
        <w:fldChar w:fldCharType="separate"/>
      </w:r>
      <w:r w:rsidR="009737E5">
        <w:rPr>
          <w:noProof/>
          <w:sz w:val="22"/>
        </w:rPr>
        <w:t>11</w:t>
      </w:r>
      <w:r w:rsidR="00085686" w:rsidRPr="00FF17EC">
        <w:rPr>
          <w:sz w:val="22"/>
        </w:rPr>
        <w:fldChar w:fldCharType="end"/>
      </w:r>
      <w:r w:rsidR="005C4AE7" w:rsidRPr="00FF17EC">
        <w:rPr>
          <w:sz w:val="22"/>
        </w:rPr>
        <w:noBreakHyphen/>
      </w:r>
      <w:r w:rsidR="00085686" w:rsidRPr="00FF17EC">
        <w:rPr>
          <w:sz w:val="22"/>
        </w:rPr>
        <w:fldChar w:fldCharType="begin"/>
      </w:r>
      <w:r w:rsidR="005C4AE7" w:rsidRPr="00FF17EC">
        <w:rPr>
          <w:sz w:val="22"/>
        </w:rPr>
        <w:instrText xml:space="preserve"> SEQ Table \* ARABIC \s 1 </w:instrText>
      </w:r>
      <w:r w:rsidR="00085686" w:rsidRPr="00FF17EC">
        <w:rPr>
          <w:sz w:val="22"/>
        </w:rPr>
        <w:fldChar w:fldCharType="separate"/>
      </w:r>
      <w:r w:rsidR="009737E5">
        <w:rPr>
          <w:noProof/>
          <w:sz w:val="22"/>
        </w:rPr>
        <w:t>2</w:t>
      </w:r>
      <w:r w:rsidR="00085686" w:rsidRPr="00FF17EC">
        <w:rPr>
          <w:sz w:val="22"/>
        </w:rPr>
        <w:fldChar w:fldCharType="end"/>
      </w:r>
      <w:r w:rsidRPr="00FF17EC">
        <w:rPr>
          <w:sz w:val="22"/>
        </w:rPr>
        <w:t xml:space="preserve"> Project budgets</w:t>
      </w:r>
      <w:r w:rsidR="00634723" w:rsidRPr="00FF17EC">
        <w:rPr>
          <w:sz w:val="22"/>
        </w:rPr>
        <w:t xml:space="preserve"> </w:t>
      </w:r>
      <w:r w:rsidRPr="00FF17EC">
        <w:rPr>
          <w:sz w:val="22"/>
        </w:rPr>
        <w:t>per priority and type of partners</w:t>
      </w:r>
    </w:p>
    <w:p w:rsidR="004B54BA" w:rsidRPr="00FF17EC" w:rsidRDefault="004B54BA" w:rsidP="004B54BA">
      <w:pPr>
        <w:rPr>
          <w:lang w:eastAsia="it-IT"/>
        </w:rPr>
      </w:pPr>
    </w:p>
    <w:p w:rsidR="004B54BA" w:rsidRPr="00FF17EC" w:rsidRDefault="004B54BA" w:rsidP="004B54BA">
      <w:r w:rsidRPr="00FF17EC">
        <w:t>The distribution of projects per priority and per county-districts shows that Timis and Južno-Banatski are the only</w:t>
      </w:r>
      <w:r w:rsidR="00634723" w:rsidRPr="00FF17EC">
        <w:t xml:space="preserve"> </w:t>
      </w:r>
      <w:r w:rsidRPr="00FF17EC">
        <w:t>two areas where some</w:t>
      </w:r>
      <w:r w:rsidR="00634723" w:rsidRPr="00FF17EC">
        <w:t xml:space="preserve"> </w:t>
      </w:r>
      <w:r w:rsidRPr="00FF17EC">
        <w:t>projects were started in most or all priorities, while</w:t>
      </w:r>
      <w:r w:rsidR="00634723" w:rsidRPr="00FF17EC">
        <w:t xml:space="preserve"> </w:t>
      </w:r>
      <w:r w:rsidRPr="00FF17EC">
        <w:t>in the other counties and districts the projects approved are concentrated in one or two priorities (see tables below). A partner</w:t>
      </w:r>
      <w:r w:rsidR="00634723" w:rsidRPr="00FF17EC">
        <w:t xml:space="preserve"> </w:t>
      </w:r>
      <w:r w:rsidRPr="00FF17EC">
        <w:t xml:space="preserve">from the </w:t>
      </w:r>
      <w:r w:rsidR="008A6D0D" w:rsidRPr="00FF17EC">
        <w:t>Serbian</w:t>
      </w:r>
      <w:r w:rsidRPr="00FF17EC">
        <w:t xml:space="preserve"> Capital was awarded a large share of the budget for the second priority in the second call.</w:t>
      </w:r>
    </w:p>
    <w:p w:rsidR="004B54BA" w:rsidRPr="00FF17EC" w:rsidRDefault="004B54BA" w:rsidP="004B54BA"/>
    <w:p w:rsidR="004B54BA" w:rsidRPr="00FF17EC" w:rsidRDefault="004B54BA" w:rsidP="004B54BA"/>
    <w:p w:rsidR="004B54BA" w:rsidRPr="00FF17EC" w:rsidRDefault="004B54BA" w:rsidP="004B54BA">
      <w:r w:rsidRPr="00FF17EC">
        <w:lastRenderedPageBreak/>
        <w:t xml:space="preserve"> </w:t>
      </w:r>
    </w:p>
    <w:tbl>
      <w:tblPr>
        <w:tblW w:w="9133" w:type="dxa"/>
        <w:tblInd w:w="57" w:type="dxa"/>
        <w:tblBorders>
          <w:top w:val="single" w:sz="4" w:space="0" w:color="000000"/>
          <w:bottom w:val="single" w:sz="4" w:space="0" w:color="000000"/>
        </w:tblBorders>
        <w:tblCellMar>
          <w:left w:w="70" w:type="dxa"/>
          <w:right w:w="70" w:type="dxa"/>
        </w:tblCellMar>
        <w:tblLook w:val="04A0" w:firstRow="1" w:lastRow="0" w:firstColumn="1" w:lastColumn="0" w:noHBand="0" w:noVBand="1"/>
      </w:tblPr>
      <w:tblGrid>
        <w:gridCol w:w="873"/>
        <w:gridCol w:w="520"/>
        <w:gridCol w:w="860"/>
        <w:gridCol w:w="860"/>
        <w:gridCol w:w="860"/>
        <w:gridCol w:w="860"/>
        <w:gridCol w:w="860"/>
        <w:gridCol w:w="860"/>
        <w:gridCol w:w="860"/>
        <w:gridCol w:w="860"/>
        <w:gridCol w:w="887"/>
      </w:tblGrid>
      <w:tr w:rsidR="004B54BA" w:rsidRPr="00FF17EC" w:rsidTr="004B54BA">
        <w:trPr>
          <w:trHeight w:val="255"/>
        </w:trPr>
        <w:tc>
          <w:tcPr>
            <w:tcW w:w="8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Priority</w:t>
            </w:r>
          </w:p>
        </w:tc>
        <w:tc>
          <w:tcPr>
            <w:tcW w:w="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TM</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CS</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MH</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NO BA</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CE BA</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SO BA</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BOR</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BRAN</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Total</w:t>
            </w:r>
          </w:p>
        </w:tc>
      </w:tr>
      <w:tr w:rsidR="004B54BA" w:rsidRPr="00FF17EC" w:rsidTr="004B54BA">
        <w:trPr>
          <w:trHeight w:val="255"/>
        </w:trPr>
        <w:tc>
          <w:tcPr>
            <w:tcW w:w="873"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w:t>
            </w:r>
          </w:p>
        </w:tc>
        <w:tc>
          <w:tcPr>
            <w:tcW w:w="52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w:t>
            </w:r>
          </w:p>
        </w:tc>
        <w:tc>
          <w:tcPr>
            <w:tcW w:w="86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18,5%</w:t>
            </w:r>
          </w:p>
        </w:tc>
        <w:tc>
          <w:tcPr>
            <w:tcW w:w="86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49,9%</w:t>
            </w:r>
          </w:p>
        </w:tc>
        <w:tc>
          <w:tcPr>
            <w:tcW w:w="86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31,6%</w:t>
            </w:r>
          </w:p>
        </w:tc>
        <w:tc>
          <w:tcPr>
            <w:tcW w:w="86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tcBorders>
              <w:top w:val="single" w:sz="4" w:space="0" w:color="auto"/>
            </w:tcBorders>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52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2</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45,4%</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9,2%</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30,2%</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15,2%</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52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3</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63,4%</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36,6%</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52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4</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82,3%</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17,7%</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1393" w:type="dxa"/>
            <w:gridSpan w:val="2"/>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total 1</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16,4%</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14,5%</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22,4%</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4,5%</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31,7%</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10,6%</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2</w:t>
            </w:r>
          </w:p>
        </w:tc>
        <w:tc>
          <w:tcPr>
            <w:tcW w:w="52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20,4%</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23,5%</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56,2%</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52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3</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55,0%</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45,0%</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1393" w:type="dxa"/>
            <w:gridSpan w:val="2"/>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total 2</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26,3%</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21,5%</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10,6%</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12,3%</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29,3%</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3</w:t>
            </w:r>
          </w:p>
        </w:tc>
        <w:tc>
          <w:tcPr>
            <w:tcW w:w="52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52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2</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34,3%</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65,7%</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52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3</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37,1%</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25,7%</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23,2%</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5,1%</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4,4%</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4,6%</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 </w:t>
            </w:r>
          </w:p>
        </w:tc>
        <w:tc>
          <w:tcPr>
            <w:tcW w:w="52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4</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53,6%</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27,7%</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18,7%</w:t>
            </w: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p>
        </w:tc>
        <w:tc>
          <w:tcPr>
            <w:tcW w:w="860" w:type="dxa"/>
            <w:shd w:val="clear" w:color="auto" w:fill="auto"/>
            <w:noWrap/>
            <w:vAlign w:val="bottom"/>
            <w:hideMark/>
          </w:tcPr>
          <w:p w:rsidR="004B54BA" w:rsidRPr="00FF17EC" w:rsidRDefault="004B54BA" w:rsidP="004B54BA">
            <w:pPr>
              <w:keepNext/>
              <w:spacing w:after="0" w:line="240" w:lineRule="auto"/>
              <w:rPr>
                <w:lang w:val="it-IT" w:eastAsia="it-IT"/>
              </w:rPr>
            </w:pPr>
            <w:r w:rsidRPr="00FF17EC">
              <w:rPr>
                <w:lang w:val="it-IT" w:eastAsia="it-IT"/>
              </w:rPr>
              <w:t>100,0%</w:t>
            </w:r>
          </w:p>
        </w:tc>
      </w:tr>
      <w:tr w:rsidR="004B54BA" w:rsidRPr="00FF17EC" w:rsidTr="004B54BA">
        <w:trPr>
          <w:trHeight w:val="255"/>
        </w:trPr>
        <w:tc>
          <w:tcPr>
            <w:tcW w:w="1393" w:type="dxa"/>
            <w:gridSpan w:val="2"/>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total 3</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37,8%</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31,9%</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15,5%</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3,2%</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5,6%</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3,0%</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3,1%</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100,0%</w:t>
            </w:r>
          </w:p>
        </w:tc>
      </w:tr>
      <w:tr w:rsidR="004B54BA" w:rsidRPr="00FF17EC" w:rsidTr="004B54BA">
        <w:trPr>
          <w:trHeight w:val="255"/>
        </w:trPr>
        <w:tc>
          <w:tcPr>
            <w:tcW w:w="873"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 xml:space="preserve">total </w:t>
            </w:r>
          </w:p>
        </w:tc>
        <w:tc>
          <w:tcPr>
            <w:tcW w:w="52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 </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21,9%</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14,1%</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21,1%</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5,7%</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3,6%</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26,6%</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0,5%</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6,6%</w:t>
            </w:r>
          </w:p>
        </w:tc>
        <w:tc>
          <w:tcPr>
            <w:tcW w:w="860" w:type="dxa"/>
            <w:shd w:val="clear" w:color="auto" w:fill="auto"/>
            <w:noWrap/>
            <w:vAlign w:val="bottom"/>
            <w:hideMark/>
          </w:tcPr>
          <w:p w:rsidR="004B54BA" w:rsidRPr="00FF17EC" w:rsidRDefault="004B54BA" w:rsidP="004B54BA">
            <w:pPr>
              <w:keepNext/>
              <w:spacing w:after="0" w:line="240" w:lineRule="auto"/>
              <w:rPr>
                <w:b/>
                <w:lang w:val="it-IT" w:eastAsia="it-IT"/>
              </w:rPr>
            </w:pPr>
            <w:r w:rsidRPr="00FF17EC">
              <w:rPr>
                <w:b/>
                <w:lang w:val="it-IT" w:eastAsia="it-IT"/>
              </w:rPr>
              <w:t>100,0%</w:t>
            </w:r>
          </w:p>
        </w:tc>
      </w:tr>
    </w:tbl>
    <w:p w:rsidR="004B54BA" w:rsidRPr="00FF17EC" w:rsidRDefault="004B54BA" w:rsidP="004B54BA">
      <w:pPr>
        <w:spacing w:after="0" w:line="240" w:lineRule="auto"/>
        <w:rPr>
          <w:lang w:val="en-US" w:eastAsia="it-IT"/>
        </w:rPr>
      </w:pPr>
      <w:r w:rsidRPr="00FF17EC">
        <w:rPr>
          <w:b/>
          <w:lang w:val="en-US" w:eastAsia="it-IT"/>
        </w:rPr>
        <w:t xml:space="preserve">Table </w:t>
      </w:r>
      <w:r w:rsidR="00085686" w:rsidRPr="00FF17EC">
        <w:rPr>
          <w:b/>
          <w:lang w:val="en-US" w:eastAsia="it-IT"/>
        </w:rPr>
        <w:fldChar w:fldCharType="begin"/>
      </w:r>
      <w:r w:rsidR="005C4AE7" w:rsidRPr="00FF17EC">
        <w:rPr>
          <w:b/>
          <w:lang w:val="en-US" w:eastAsia="it-IT"/>
        </w:rPr>
        <w:instrText xml:space="preserve"> STYLEREF 1 \s </w:instrText>
      </w:r>
      <w:r w:rsidR="00085686" w:rsidRPr="00FF17EC">
        <w:rPr>
          <w:b/>
          <w:lang w:val="en-US" w:eastAsia="it-IT"/>
        </w:rPr>
        <w:fldChar w:fldCharType="separate"/>
      </w:r>
      <w:r w:rsidR="009737E5">
        <w:rPr>
          <w:b/>
          <w:noProof/>
          <w:lang w:val="en-US" w:eastAsia="it-IT"/>
        </w:rPr>
        <w:t>11</w:t>
      </w:r>
      <w:r w:rsidR="00085686" w:rsidRPr="00FF17EC">
        <w:rPr>
          <w:b/>
          <w:lang w:val="en-US" w:eastAsia="it-IT"/>
        </w:rPr>
        <w:fldChar w:fldCharType="end"/>
      </w:r>
      <w:r w:rsidR="005C4AE7" w:rsidRPr="00FF17EC">
        <w:rPr>
          <w:b/>
          <w:lang w:val="en-US" w:eastAsia="it-IT"/>
        </w:rPr>
        <w:noBreakHyphen/>
      </w:r>
      <w:r w:rsidR="00085686" w:rsidRPr="00FF17EC">
        <w:rPr>
          <w:b/>
          <w:lang w:val="en-US" w:eastAsia="it-IT"/>
        </w:rPr>
        <w:fldChar w:fldCharType="begin"/>
      </w:r>
      <w:r w:rsidR="005C4AE7" w:rsidRPr="00FF17EC">
        <w:rPr>
          <w:b/>
          <w:lang w:val="en-US" w:eastAsia="it-IT"/>
        </w:rPr>
        <w:instrText xml:space="preserve"> SEQ Table \* ARABIC \s 1 </w:instrText>
      </w:r>
      <w:r w:rsidR="00085686" w:rsidRPr="00FF17EC">
        <w:rPr>
          <w:b/>
          <w:lang w:val="en-US" w:eastAsia="it-IT"/>
        </w:rPr>
        <w:fldChar w:fldCharType="separate"/>
      </w:r>
      <w:r w:rsidR="009737E5">
        <w:rPr>
          <w:b/>
          <w:noProof/>
          <w:lang w:val="en-US" w:eastAsia="it-IT"/>
        </w:rPr>
        <w:t>3</w:t>
      </w:r>
      <w:r w:rsidR="00085686" w:rsidRPr="00FF17EC">
        <w:rPr>
          <w:b/>
          <w:lang w:val="en-US" w:eastAsia="it-IT"/>
        </w:rPr>
        <w:fldChar w:fldCharType="end"/>
      </w:r>
      <w:r w:rsidRPr="00FF17EC">
        <w:rPr>
          <w:b/>
          <w:lang w:val="en-US" w:eastAsia="it-IT"/>
        </w:rPr>
        <w:t xml:space="preserve"> First call Project budget per priority and per location of the lead partner.</w:t>
      </w:r>
    </w:p>
    <w:p w:rsidR="004B54BA" w:rsidRPr="00FF17EC" w:rsidRDefault="004B54BA" w:rsidP="004B54BA">
      <w:pPr>
        <w:rPr>
          <w:lang w:val="en-US"/>
        </w:rPr>
      </w:pPr>
    </w:p>
    <w:p w:rsidR="005C4AE7" w:rsidRPr="00FF17EC" w:rsidRDefault="005C4AE7" w:rsidP="004B54BA">
      <w:pPr>
        <w:rPr>
          <w:lang w:val="en-US"/>
        </w:rPr>
      </w:pPr>
    </w:p>
    <w:tbl>
      <w:tblPr>
        <w:tblW w:w="9600" w:type="dxa"/>
        <w:tblInd w:w="57" w:type="dxa"/>
        <w:tblCellMar>
          <w:left w:w="70" w:type="dxa"/>
          <w:right w:w="70" w:type="dxa"/>
        </w:tblCellMar>
        <w:tblLook w:val="04A0" w:firstRow="1" w:lastRow="0" w:firstColumn="1" w:lastColumn="0" w:noHBand="0" w:noVBand="1"/>
      </w:tblPr>
      <w:tblGrid>
        <w:gridCol w:w="873"/>
        <w:gridCol w:w="1066"/>
        <w:gridCol w:w="925"/>
        <w:gridCol w:w="924"/>
        <w:gridCol w:w="897"/>
        <w:gridCol w:w="999"/>
        <w:gridCol w:w="958"/>
        <w:gridCol w:w="919"/>
        <w:gridCol w:w="1004"/>
        <w:gridCol w:w="1038"/>
      </w:tblGrid>
      <w:tr w:rsidR="004B54BA" w:rsidRPr="00FF17EC" w:rsidTr="004B54BA">
        <w:trPr>
          <w:trHeight w:val="300"/>
        </w:trPr>
        <w:tc>
          <w:tcPr>
            <w:tcW w:w="8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 xml:space="preserve">Priority </w:t>
            </w:r>
          </w:p>
        </w:tc>
        <w:tc>
          <w:tcPr>
            <w:tcW w:w="10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TM</w:t>
            </w:r>
          </w:p>
        </w:tc>
        <w:tc>
          <w:tcPr>
            <w:tcW w:w="9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CS</w:t>
            </w:r>
          </w:p>
        </w:tc>
        <w:tc>
          <w:tcPr>
            <w:tcW w:w="9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MH</w:t>
            </w:r>
          </w:p>
        </w:tc>
        <w:tc>
          <w:tcPr>
            <w:tcW w:w="8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NO BAN</w:t>
            </w:r>
          </w:p>
        </w:tc>
        <w:tc>
          <w:tcPr>
            <w:tcW w:w="9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CE BAN</w:t>
            </w:r>
          </w:p>
        </w:tc>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SO BAN</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BRA</w:t>
            </w:r>
          </w:p>
        </w:tc>
        <w:tc>
          <w:tcPr>
            <w:tcW w:w="10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Belgrade</w:t>
            </w:r>
          </w:p>
        </w:tc>
        <w:tc>
          <w:tcPr>
            <w:tcW w:w="10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 </w:t>
            </w:r>
          </w:p>
        </w:tc>
      </w:tr>
      <w:tr w:rsidR="004B54BA" w:rsidRPr="00FF17EC" w:rsidTr="004B54BA">
        <w:trPr>
          <w:trHeight w:val="300"/>
        </w:trPr>
        <w:tc>
          <w:tcPr>
            <w:tcW w:w="872"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Total 1</w:t>
            </w:r>
          </w:p>
        </w:tc>
        <w:tc>
          <w:tcPr>
            <w:tcW w:w="1066"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29,06%</w:t>
            </w:r>
          </w:p>
        </w:tc>
        <w:tc>
          <w:tcPr>
            <w:tcW w:w="925"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19,15%</w:t>
            </w:r>
          </w:p>
        </w:tc>
        <w:tc>
          <w:tcPr>
            <w:tcW w:w="924"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16,65%</w:t>
            </w:r>
          </w:p>
        </w:tc>
        <w:tc>
          <w:tcPr>
            <w:tcW w:w="897"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1,19%</w:t>
            </w:r>
          </w:p>
        </w:tc>
        <w:tc>
          <w:tcPr>
            <w:tcW w:w="999"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958"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23,92%</w:t>
            </w:r>
          </w:p>
        </w:tc>
        <w:tc>
          <w:tcPr>
            <w:tcW w:w="919"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10,04%</w:t>
            </w:r>
          </w:p>
        </w:tc>
        <w:tc>
          <w:tcPr>
            <w:tcW w:w="1002"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1038"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100,00%</w:t>
            </w:r>
          </w:p>
        </w:tc>
      </w:tr>
      <w:tr w:rsidR="004B54BA" w:rsidRPr="00FF17EC" w:rsidTr="004B54BA">
        <w:trPr>
          <w:trHeight w:val="300"/>
        </w:trPr>
        <w:tc>
          <w:tcPr>
            <w:tcW w:w="87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w:t>
            </w:r>
          </w:p>
        </w:tc>
        <w:tc>
          <w:tcPr>
            <w:tcW w:w="1066"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21,73%</w:t>
            </w:r>
          </w:p>
        </w:tc>
        <w:tc>
          <w:tcPr>
            <w:tcW w:w="925"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42,99%</w:t>
            </w:r>
          </w:p>
        </w:tc>
        <w:tc>
          <w:tcPr>
            <w:tcW w:w="924"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11,88%</w:t>
            </w:r>
          </w:p>
        </w:tc>
        <w:tc>
          <w:tcPr>
            <w:tcW w:w="91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23,40%</w:t>
            </w:r>
          </w:p>
        </w:tc>
        <w:tc>
          <w:tcPr>
            <w:tcW w:w="100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r>
      <w:tr w:rsidR="004B54BA" w:rsidRPr="00FF17EC" w:rsidTr="004B54BA">
        <w:trPr>
          <w:trHeight w:val="300"/>
        </w:trPr>
        <w:tc>
          <w:tcPr>
            <w:tcW w:w="87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2</w:t>
            </w:r>
          </w:p>
        </w:tc>
        <w:tc>
          <w:tcPr>
            <w:tcW w:w="1066"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38,72%</w:t>
            </w:r>
          </w:p>
        </w:tc>
        <w:tc>
          <w:tcPr>
            <w:tcW w:w="925"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8,05%</w:t>
            </w:r>
          </w:p>
        </w:tc>
        <w:tc>
          <w:tcPr>
            <w:tcW w:w="924"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43,27%</w:t>
            </w:r>
          </w:p>
        </w:tc>
        <w:tc>
          <w:tcPr>
            <w:tcW w:w="897"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6,58%</w:t>
            </w:r>
          </w:p>
        </w:tc>
        <w:tc>
          <w:tcPr>
            <w:tcW w:w="91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3,38%</w:t>
            </w:r>
          </w:p>
        </w:tc>
        <w:tc>
          <w:tcPr>
            <w:tcW w:w="100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r>
      <w:tr w:rsidR="004B54BA" w:rsidRPr="00FF17EC" w:rsidTr="004B54BA">
        <w:trPr>
          <w:trHeight w:val="300"/>
        </w:trPr>
        <w:tc>
          <w:tcPr>
            <w:tcW w:w="87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3</w:t>
            </w:r>
          </w:p>
        </w:tc>
        <w:tc>
          <w:tcPr>
            <w:tcW w:w="1066"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8,95%</w:t>
            </w:r>
          </w:p>
        </w:tc>
        <w:tc>
          <w:tcPr>
            <w:tcW w:w="925"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5,98%</w:t>
            </w:r>
          </w:p>
        </w:tc>
        <w:tc>
          <w:tcPr>
            <w:tcW w:w="99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85,07%</w:t>
            </w:r>
          </w:p>
        </w:tc>
        <w:tc>
          <w:tcPr>
            <w:tcW w:w="91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0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r>
      <w:tr w:rsidR="004B54BA" w:rsidRPr="00FF17EC" w:rsidTr="004B54BA">
        <w:trPr>
          <w:trHeight w:val="300"/>
        </w:trPr>
        <w:tc>
          <w:tcPr>
            <w:tcW w:w="87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4</w:t>
            </w:r>
          </w:p>
        </w:tc>
        <w:tc>
          <w:tcPr>
            <w:tcW w:w="1066"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c>
          <w:tcPr>
            <w:tcW w:w="925"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1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0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r>
      <w:tr w:rsidR="004B54BA" w:rsidRPr="00FF17EC" w:rsidTr="004B54BA">
        <w:trPr>
          <w:trHeight w:val="300"/>
        </w:trPr>
        <w:tc>
          <w:tcPr>
            <w:tcW w:w="872"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Total 2</w:t>
            </w:r>
          </w:p>
        </w:tc>
        <w:tc>
          <w:tcPr>
            <w:tcW w:w="1066"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925"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18,74%</w:t>
            </w:r>
          </w:p>
        </w:tc>
        <w:tc>
          <w:tcPr>
            <w:tcW w:w="924"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36,14%</w:t>
            </w:r>
          </w:p>
        </w:tc>
        <w:tc>
          <w:tcPr>
            <w:tcW w:w="897"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999"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958"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919"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1002"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45,13%</w:t>
            </w:r>
          </w:p>
        </w:tc>
        <w:tc>
          <w:tcPr>
            <w:tcW w:w="1038"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100,00%</w:t>
            </w:r>
          </w:p>
        </w:tc>
      </w:tr>
      <w:tr w:rsidR="004B54BA" w:rsidRPr="00FF17EC" w:rsidTr="004B54BA">
        <w:trPr>
          <w:trHeight w:val="300"/>
        </w:trPr>
        <w:tc>
          <w:tcPr>
            <w:tcW w:w="87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w:t>
            </w:r>
          </w:p>
        </w:tc>
        <w:tc>
          <w:tcPr>
            <w:tcW w:w="1066"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25"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64,11%</w:t>
            </w:r>
          </w:p>
        </w:tc>
        <w:tc>
          <w:tcPr>
            <w:tcW w:w="924"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35,89%</w:t>
            </w:r>
          </w:p>
        </w:tc>
        <w:tc>
          <w:tcPr>
            <w:tcW w:w="897"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1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0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r>
      <w:tr w:rsidR="004B54BA" w:rsidRPr="00FF17EC" w:rsidTr="004B54BA">
        <w:trPr>
          <w:trHeight w:val="300"/>
        </w:trPr>
        <w:tc>
          <w:tcPr>
            <w:tcW w:w="87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3</w:t>
            </w:r>
          </w:p>
        </w:tc>
        <w:tc>
          <w:tcPr>
            <w:tcW w:w="1066"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25"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36,24%</w:t>
            </w:r>
          </w:p>
        </w:tc>
        <w:tc>
          <w:tcPr>
            <w:tcW w:w="897"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1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0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63,76%</w:t>
            </w:r>
          </w:p>
        </w:tc>
        <w:tc>
          <w:tcPr>
            <w:tcW w:w="103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r>
      <w:tr w:rsidR="004B54BA" w:rsidRPr="00FF17EC" w:rsidTr="004B54BA">
        <w:trPr>
          <w:trHeight w:val="300"/>
        </w:trPr>
        <w:tc>
          <w:tcPr>
            <w:tcW w:w="872"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Total 3</w:t>
            </w:r>
          </w:p>
        </w:tc>
        <w:tc>
          <w:tcPr>
            <w:tcW w:w="1066"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44,47%</w:t>
            </w:r>
          </w:p>
        </w:tc>
        <w:tc>
          <w:tcPr>
            <w:tcW w:w="925"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16,28%</w:t>
            </w:r>
          </w:p>
        </w:tc>
        <w:tc>
          <w:tcPr>
            <w:tcW w:w="924"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5,66%</w:t>
            </w:r>
          </w:p>
        </w:tc>
        <w:tc>
          <w:tcPr>
            <w:tcW w:w="897"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999"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16,16%</w:t>
            </w:r>
          </w:p>
        </w:tc>
        <w:tc>
          <w:tcPr>
            <w:tcW w:w="958"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17,43%</w:t>
            </w:r>
          </w:p>
        </w:tc>
        <w:tc>
          <w:tcPr>
            <w:tcW w:w="919"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1002"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 </w:t>
            </w:r>
          </w:p>
        </w:tc>
        <w:tc>
          <w:tcPr>
            <w:tcW w:w="1038" w:type="dxa"/>
            <w:tcBorders>
              <w:top w:val="nil"/>
              <w:left w:val="nil"/>
              <w:bottom w:val="single" w:sz="4" w:space="0" w:color="95B3D7"/>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100,00%</w:t>
            </w:r>
          </w:p>
        </w:tc>
      </w:tr>
      <w:tr w:rsidR="004B54BA" w:rsidRPr="00FF17EC" w:rsidTr="004B54BA">
        <w:trPr>
          <w:trHeight w:val="300"/>
        </w:trPr>
        <w:tc>
          <w:tcPr>
            <w:tcW w:w="87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w:t>
            </w:r>
          </w:p>
        </w:tc>
        <w:tc>
          <w:tcPr>
            <w:tcW w:w="1066"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17,98%</w:t>
            </w:r>
          </w:p>
        </w:tc>
        <w:tc>
          <w:tcPr>
            <w:tcW w:w="925"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48,10%</w:t>
            </w:r>
          </w:p>
        </w:tc>
        <w:tc>
          <w:tcPr>
            <w:tcW w:w="95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33,92%</w:t>
            </w:r>
          </w:p>
        </w:tc>
        <w:tc>
          <w:tcPr>
            <w:tcW w:w="91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0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r>
      <w:tr w:rsidR="004B54BA" w:rsidRPr="00FF17EC" w:rsidTr="004B54BA">
        <w:trPr>
          <w:trHeight w:val="300"/>
        </w:trPr>
        <w:tc>
          <w:tcPr>
            <w:tcW w:w="87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2</w:t>
            </w:r>
          </w:p>
        </w:tc>
        <w:tc>
          <w:tcPr>
            <w:tcW w:w="1066"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c>
          <w:tcPr>
            <w:tcW w:w="925"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1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0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r>
      <w:tr w:rsidR="004B54BA" w:rsidRPr="00FF17EC" w:rsidTr="004B54BA">
        <w:trPr>
          <w:trHeight w:val="300"/>
        </w:trPr>
        <w:tc>
          <w:tcPr>
            <w:tcW w:w="87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3</w:t>
            </w:r>
          </w:p>
        </w:tc>
        <w:tc>
          <w:tcPr>
            <w:tcW w:w="1066"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45,05%</w:t>
            </w:r>
          </w:p>
        </w:tc>
        <w:tc>
          <w:tcPr>
            <w:tcW w:w="925"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27,15%</w:t>
            </w:r>
          </w:p>
        </w:tc>
        <w:tc>
          <w:tcPr>
            <w:tcW w:w="924"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9,44%</w:t>
            </w:r>
          </w:p>
        </w:tc>
        <w:tc>
          <w:tcPr>
            <w:tcW w:w="897"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4,87%</w:t>
            </w:r>
          </w:p>
        </w:tc>
        <w:tc>
          <w:tcPr>
            <w:tcW w:w="95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13,49%</w:t>
            </w:r>
          </w:p>
        </w:tc>
        <w:tc>
          <w:tcPr>
            <w:tcW w:w="919"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02"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4B54BA" w:rsidRPr="00FF17EC" w:rsidRDefault="004B54BA" w:rsidP="004B54BA">
            <w:pPr>
              <w:spacing w:after="0" w:line="240" w:lineRule="auto"/>
              <w:rPr>
                <w:lang w:val="it-IT" w:eastAsia="it-IT"/>
              </w:rPr>
            </w:pPr>
            <w:r w:rsidRPr="00FF17EC">
              <w:rPr>
                <w:lang w:val="it-IT" w:eastAsia="it-IT"/>
              </w:rPr>
              <w:t>100,00%</w:t>
            </w:r>
          </w:p>
        </w:tc>
      </w:tr>
      <w:tr w:rsidR="004B54BA" w:rsidRPr="00FF17EC" w:rsidTr="004B54BA">
        <w:trPr>
          <w:trHeight w:val="300"/>
        </w:trPr>
        <w:tc>
          <w:tcPr>
            <w:tcW w:w="872"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total</w:t>
            </w:r>
          </w:p>
        </w:tc>
        <w:tc>
          <w:tcPr>
            <w:tcW w:w="1066"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24,43%</w:t>
            </w:r>
          </w:p>
        </w:tc>
        <w:tc>
          <w:tcPr>
            <w:tcW w:w="925"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18,67%</w:t>
            </w:r>
          </w:p>
        </w:tc>
        <w:tc>
          <w:tcPr>
            <w:tcW w:w="924"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19,67%</w:t>
            </w:r>
          </w:p>
        </w:tc>
        <w:tc>
          <w:tcPr>
            <w:tcW w:w="897"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0,76%</w:t>
            </w:r>
          </w:p>
        </w:tc>
        <w:tc>
          <w:tcPr>
            <w:tcW w:w="999"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2,15%</w:t>
            </w:r>
          </w:p>
        </w:tc>
        <w:tc>
          <w:tcPr>
            <w:tcW w:w="958"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17,56%</w:t>
            </w:r>
          </w:p>
        </w:tc>
        <w:tc>
          <w:tcPr>
            <w:tcW w:w="919"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6,39%</w:t>
            </w:r>
          </w:p>
        </w:tc>
        <w:tc>
          <w:tcPr>
            <w:tcW w:w="1002"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10,37%</w:t>
            </w:r>
          </w:p>
        </w:tc>
        <w:tc>
          <w:tcPr>
            <w:tcW w:w="1038" w:type="dxa"/>
            <w:tcBorders>
              <w:top w:val="single" w:sz="4" w:space="0" w:color="auto"/>
              <w:left w:val="nil"/>
              <w:bottom w:val="single" w:sz="4" w:space="0" w:color="auto"/>
              <w:right w:val="nil"/>
            </w:tcBorders>
            <w:shd w:val="clear" w:color="auto" w:fill="auto"/>
            <w:noWrap/>
            <w:vAlign w:val="bottom"/>
            <w:hideMark/>
          </w:tcPr>
          <w:p w:rsidR="004B54BA" w:rsidRPr="00FF17EC" w:rsidRDefault="004B54BA" w:rsidP="004B54BA">
            <w:pPr>
              <w:spacing w:after="0" w:line="240" w:lineRule="auto"/>
              <w:rPr>
                <w:b/>
                <w:lang w:val="it-IT" w:eastAsia="it-IT"/>
              </w:rPr>
            </w:pPr>
            <w:r w:rsidRPr="00FF17EC">
              <w:rPr>
                <w:b/>
                <w:lang w:val="it-IT" w:eastAsia="it-IT"/>
              </w:rPr>
              <w:t>100,00%</w:t>
            </w:r>
          </w:p>
        </w:tc>
      </w:tr>
    </w:tbl>
    <w:p w:rsidR="004B54BA" w:rsidRPr="00FF17EC" w:rsidRDefault="004B54BA" w:rsidP="004B54BA">
      <w:pPr>
        <w:spacing w:after="0" w:line="240" w:lineRule="auto"/>
        <w:rPr>
          <w:b/>
          <w:lang w:val="en-US" w:eastAsia="it-IT"/>
        </w:rPr>
      </w:pPr>
      <w:r w:rsidRPr="00FF17EC">
        <w:rPr>
          <w:b/>
          <w:lang w:val="en-US" w:eastAsia="it-IT"/>
        </w:rPr>
        <w:t xml:space="preserve">Table </w:t>
      </w:r>
      <w:r w:rsidR="00085686" w:rsidRPr="00FF17EC">
        <w:rPr>
          <w:b/>
          <w:lang w:val="en-US" w:eastAsia="it-IT"/>
        </w:rPr>
        <w:fldChar w:fldCharType="begin"/>
      </w:r>
      <w:r w:rsidR="005C4AE7" w:rsidRPr="00FF17EC">
        <w:rPr>
          <w:b/>
          <w:lang w:val="en-US" w:eastAsia="it-IT"/>
        </w:rPr>
        <w:instrText xml:space="preserve"> STYLEREF 1 \s </w:instrText>
      </w:r>
      <w:r w:rsidR="00085686" w:rsidRPr="00FF17EC">
        <w:rPr>
          <w:b/>
          <w:lang w:val="en-US" w:eastAsia="it-IT"/>
        </w:rPr>
        <w:fldChar w:fldCharType="separate"/>
      </w:r>
      <w:r w:rsidR="009737E5">
        <w:rPr>
          <w:b/>
          <w:noProof/>
          <w:lang w:val="en-US" w:eastAsia="it-IT"/>
        </w:rPr>
        <w:t>11</w:t>
      </w:r>
      <w:r w:rsidR="00085686" w:rsidRPr="00FF17EC">
        <w:rPr>
          <w:b/>
          <w:lang w:val="en-US" w:eastAsia="it-IT"/>
        </w:rPr>
        <w:fldChar w:fldCharType="end"/>
      </w:r>
      <w:r w:rsidR="005C4AE7" w:rsidRPr="00FF17EC">
        <w:rPr>
          <w:b/>
          <w:lang w:val="en-US" w:eastAsia="it-IT"/>
        </w:rPr>
        <w:noBreakHyphen/>
      </w:r>
      <w:r w:rsidR="00085686" w:rsidRPr="00FF17EC">
        <w:rPr>
          <w:b/>
          <w:lang w:val="en-US" w:eastAsia="it-IT"/>
        </w:rPr>
        <w:fldChar w:fldCharType="begin"/>
      </w:r>
      <w:r w:rsidR="005C4AE7" w:rsidRPr="00FF17EC">
        <w:rPr>
          <w:b/>
          <w:lang w:val="en-US" w:eastAsia="it-IT"/>
        </w:rPr>
        <w:instrText xml:space="preserve"> SEQ Table \* ARABIC \s 1 </w:instrText>
      </w:r>
      <w:r w:rsidR="00085686" w:rsidRPr="00FF17EC">
        <w:rPr>
          <w:b/>
          <w:lang w:val="en-US" w:eastAsia="it-IT"/>
        </w:rPr>
        <w:fldChar w:fldCharType="separate"/>
      </w:r>
      <w:r w:rsidR="009737E5">
        <w:rPr>
          <w:b/>
          <w:noProof/>
          <w:lang w:val="en-US" w:eastAsia="it-IT"/>
        </w:rPr>
        <w:t>4</w:t>
      </w:r>
      <w:r w:rsidR="00085686" w:rsidRPr="00FF17EC">
        <w:rPr>
          <w:b/>
          <w:lang w:val="en-US" w:eastAsia="it-IT"/>
        </w:rPr>
        <w:fldChar w:fldCharType="end"/>
      </w:r>
      <w:r w:rsidRPr="00FF17EC">
        <w:rPr>
          <w:b/>
          <w:lang w:val="en-US" w:eastAsia="it-IT"/>
        </w:rPr>
        <w:t xml:space="preserve"> Second call. Project budget per priority and per location of the lead partner. </w:t>
      </w:r>
    </w:p>
    <w:p w:rsidR="004B54BA" w:rsidRPr="00FF17EC" w:rsidRDefault="004B54BA" w:rsidP="004B54BA">
      <w:pPr>
        <w:spacing w:after="0" w:line="240" w:lineRule="auto"/>
        <w:rPr>
          <w:b/>
          <w:lang w:val="en-US" w:eastAsia="it-IT"/>
        </w:rPr>
      </w:pPr>
    </w:p>
    <w:p w:rsidR="004B54BA" w:rsidRPr="00FF17EC" w:rsidRDefault="004B54BA" w:rsidP="004A7621">
      <w:pPr>
        <w:rPr>
          <w:lang w:val="en-US" w:eastAsia="it-IT"/>
        </w:rPr>
      </w:pPr>
    </w:p>
    <w:p w:rsidR="004A7621" w:rsidRPr="00FF17EC" w:rsidRDefault="004A7621" w:rsidP="00A62261">
      <w:pPr>
        <w:pStyle w:val="Heading1"/>
      </w:pPr>
      <w:bookmarkStart w:id="117" w:name="_Toc378857152"/>
      <w:bookmarkStart w:id="118" w:name="_Toc383162921"/>
      <w:bookmarkStart w:id="119" w:name="_Toc383415727"/>
      <w:r w:rsidRPr="00FF17EC">
        <w:lastRenderedPageBreak/>
        <w:t>The current CBC programme Romania –Republic of Serbia</w:t>
      </w:r>
      <w:bookmarkEnd w:id="117"/>
      <w:bookmarkEnd w:id="118"/>
      <w:bookmarkEnd w:id="119"/>
    </w:p>
    <w:p w:rsidR="001C756E" w:rsidRPr="00FF17EC" w:rsidRDefault="001C756E" w:rsidP="001C756E">
      <w:pPr>
        <w:rPr>
          <w:lang w:eastAsia="it-IT"/>
        </w:rPr>
      </w:pPr>
      <w:r w:rsidRPr="00FF17EC">
        <w:t xml:space="preserve">The </w:t>
      </w:r>
      <w:r w:rsidRPr="00FF17EC">
        <w:rPr>
          <w:lang w:eastAsia="it-IT"/>
        </w:rPr>
        <w:t xml:space="preserve">strategy of the CBC Programme Romania-Republic of Serbia 2007-2013 is focused on addressing the following key challenges: </w:t>
      </w:r>
    </w:p>
    <w:p w:rsidR="001C756E" w:rsidRPr="00FF17EC" w:rsidRDefault="001C756E" w:rsidP="001C756E">
      <w:pPr>
        <w:pStyle w:val="ListParagraph"/>
        <w:rPr>
          <w:lang w:eastAsia="it-IT"/>
        </w:rPr>
      </w:pPr>
      <w:r w:rsidRPr="00FF17EC">
        <w:rPr>
          <w:lang w:eastAsia="it-IT"/>
        </w:rPr>
        <w:t>Specific issues related to the connectivity of the region;</w:t>
      </w:r>
    </w:p>
    <w:p w:rsidR="001C756E" w:rsidRPr="00FF17EC" w:rsidRDefault="001C756E" w:rsidP="001C756E">
      <w:pPr>
        <w:pStyle w:val="ListParagraph"/>
        <w:rPr>
          <w:lang w:eastAsia="it-IT"/>
        </w:rPr>
      </w:pPr>
      <w:r w:rsidRPr="00FF17EC">
        <w:rPr>
          <w:lang w:eastAsia="it-IT"/>
        </w:rPr>
        <w:t>Lack of competitiveness, in terms of low levels of entrepreneurship and business activity, innovation, and investment;</w:t>
      </w:r>
    </w:p>
    <w:p w:rsidR="001C756E" w:rsidRPr="00FF17EC" w:rsidRDefault="001C756E" w:rsidP="001C756E">
      <w:pPr>
        <w:pStyle w:val="ListParagraph"/>
        <w:rPr>
          <w:lang w:eastAsia="it-IT"/>
        </w:rPr>
      </w:pPr>
      <w:r w:rsidRPr="00FF17EC">
        <w:rPr>
          <w:lang w:eastAsia="it-IT"/>
        </w:rPr>
        <w:t>Rural development, in relation to key areas, such as agriculture, rural tourism and labour market;</w:t>
      </w:r>
    </w:p>
    <w:p w:rsidR="001C756E" w:rsidRPr="00FF17EC" w:rsidRDefault="001C756E" w:rsidP="001C756E">
      <w:pPr>
        <w:pStyle w:val="ListParagraph"/>
        <w:rPr>
          <w:lang w:eastAsia="it-IT"/>
        </w:rPr>
      </w:pPr>
      <w:r w:rsidRPr="00FF17EC">
        <w:rPr>
          <w:lang w:eastAsia="it-IT"/>
        </w:rPr>
        <w:t>Environment and Emergency preparedness;</w:t>
      </w:r>
    </w:p>
    <w:p w:rsidR="001C756E" w:rsidRPr="00FF17EC" w:rsidRDefault="001C756E" w:rsidP="001C756E">
      <w:pPr>
        <w:pStyle w:val="ListParagraph"/>
        <w:rPr>
          <w:lang w:eastAsia="it-IT"/>
        </w:rPr>
      </w:pPr>
      <w:r w:rsidRPr="00FF17EC">
        <w:rPr>
          <w:lang w:eastAsia="it-IT"/>
        </w:rPr>
        <w:t>The general challenge of the border as a “dividing factor”.</w:t>
      </w:r>
    </w:p>
    <w:p w:rsidR="001C756E" w:rsidRPr="00FF17EC" w:rsidRDefault="001C756E" w:rsidP="001C756E">
      <w:pPr>
        <w:rPr>
          <w:lang w:eastAsia="it-IT"/>
        </w:rPr>
      </w:pPr>
      <w:r w:rsidRPr="00FF17EC">
        <w:rPr>
          <w:lang w:eastAsia="it-IT"/>
        </w:rPr>
        <w:t xml:space="preserve">In order to tackle the challenges the Programme’s stakeholders have set-up the Strategic Goal: “to achieve on the basis of joint cross-border projects and common actions by Romanian and Serbian stakeholders a more balanced and sustainable socio-economic development of the Romanian-Serbian border area”, which is broken down into two specific objectives: </w:t>
      </w:r>
    </w:p>
    <w:p w:rsidR="001C756E" w:rsidRPr="00FF17EC" w:rsidRDefault="001C756E" w:rsidP="001C756E">
      <w:pPr>
        <w:pStyle w:val="ListParagraph"/>
        <w:rPr>
          <w:lang w:eastAsia="it-IT"/>
        </w:rPr>
      </w:pPr>
      <w:r w:rsidRPr="00FF17EC">
        <w:rPr>
          <w:lang w:eastAsia="it-IT"/>
        </w:rPr>
        <w:t xml:space="preserve">No. 1: Increase in the overall competitiveness of the economy in the border area; </w:t>
      </w:r>
    </w:p>
    <w:p w:rsidR="001C756E" w:rsidRPr="00FF17EC" w:rsidRDefault="001C756E" w:rsidP="001C756E">
      <w:pPr>
        <w:pStyle w:val="ListParagraph"/>
        <w:rPr>
          <w:lang w:eastAsia="it-IT"/>
        </w:rPr>
      </w:pPr>
      <w:r w:rsidRPr="00FF17EC">
        <w:rPr>
          <w:lang w:eastAsia="it-IT"/>
        </w:rPr>
        <w:t xml:space="preserve">No. 2: Improvement of the quality of life for the communities of the area. </w:t>
      </w:r>
    </w:p>
    <w:p w:rsidR="001C756E" w:rsidRPr="00FF17EC" w:rsidRDefault="001C756E" w:rsidP="001C756E">
      <w:pPr>
        <w:rPr>
          <w:lang w:eastAsia="it-IT"/>
        </w:rPr>
      </w:pPr>
      <w:r w:rsidRPr="00FF17EC">
        <w:rPr>
          <w:lang w:eastAsia="it-IT"/>
        </w:rPr>
        <w:t xml:space="preserve">The specific objectives of the Programme are addressed through 3 thematic Priority Axes: </w:t>
      </w:r>
    </w:p>
    <w:p w:rsidR="001C756E" w:rsidRPr="00FF17EC" w:rsidRDefault="001C756E" w:rsidP="001C756E">
      <w:pPr>
        <w:pStyle w:val="ListParagraph"/>
        <w:rPr>
          <w:lang w:eastAsia="it-IT"/>
        </w:rPr>
      </w:pPr>
      <w:r w:rsidRPr="00FF17EC">
        <w:rPr>
          <w:lang w:eastAsia="it-IT"/>
        </w:rPr>
        <w:t xml:space="preserve">PA 1 “Economic and Social Development” is directly linked to Specific Objective 1; </w:t>
      </w:r>
    </w:p>
    <w:p w:rsidR="001C756E" w:rsidRPr="00FF17EC" w:rsidRDefault="001C756E" w:rsidP="001C756E">
      <w:pPr>
        <w:pStyle w:val="ListParagraph"/>
        <w:rPr>
          <w:lang w:eastAsia="it-IT"/>
        </w:rPr>
      </w:pPr>
      <w:r w:rsidRPr="00FF17EC">
        <w:rPr>
          <w:lang w:eastAsia="it-IT"/>
        </w:rPr>
        <w:t xml:space="preserve">PA 2 “Environment and Emergency Preparedness” is directly linked to Specific Objective 2; </w:t>
      </w:r>
    </w:p>
    <w:p w:rsidR="001C756E" w:rsidRPr="00FF17EC" w:rsidRDefault="001C756E" w:rsidP="001C756E">
      <w:pPr>
        <w:pStyle w:val="ListParagraph"/>
        <w:rPr>
          <w:lang w:eastAsia="it-IT"/>
        </w:rPr>
      </w:pPr>
      <w:r w:rsidRPr="00FF17EC">
        <w:rPr>
          <w:lang w:eastAsia="it-IT"/>
        </w:rPr>
        <w:t xml:space="preserve">PA 3 “Promoting People to People Exchanges” </w:t>
      </w:r>
    </w:p>
    <w:p w:rsidR="001C756E" w:rsidRPr="00FF17EC" w:rsidRDefault="001C756E" w:rsidP="001C756E">
      <w:pPr>
        <w:rPr>
          <w:lang w:eastAsia="it-IT"/>
        </w:rPr>
      </w:pPr>
      <w:r w:rsidRPr="00FF17EC">
        <w:rPr>
          <w:lang w:eastAsia="it-IT"/>
        </w:rPr>
        <w:t xml:space="preserve">According to the feedback from the stakeholders, the Programme’s Strategy is still consistent with the socio-economic environment of the cross-border area and both the logic of intervention and needs remain valid. After the assessment considering the structural and economic changes happened in the programme implementation period, the assumptions of the SWOT analysis have largely remained the same, marked by the economic downturn. </w:t>
      </w:r>
    </w:p>
    <w:p w:rsidR="001C756E" w:rsidRPr="00FF17EC" w:rsidRDefault="001C756E" w:rsidP="001C756E">
      <w:pPr>
        <w:rPr>
          <w:lang w:eastAsia="it-IT"/>
        </w:rPr>
      </w:pPr>
      <w:r w:rsidRPr="00FF17EC">
        <w:rPr>
          <w:lang w:eastAsia="it-IT"/>
        </w:rPr>
        <w:t>However, according to the survey carried out during the Programme Evaluation exercise,</w:t>
      </w:r>
      <w:r w:rsidR="00634723" w:rsidRPr="00FF17EC">
        <w:rPr>
          <w:lang w:eastAsia="it-IT"/>
        </w:rPr>
        <w:t xml:space="preserve"> </w:t>
      </w:r>
      <w:r w:rsidRPr="00FF17EC">
        <w:rPr>
          <w:lang w:eastAsia="it-IT"/>
        </w:rPr>
        <w:t xml:space="preserve">the programme Stakeholders consider the strategy too broadly defined, lacking of focus on specific </w:t>
      </w:r>
      <w:r w:rsidRPr="00FF17EC">
        <w:rPr>
          <w:lang w:eastAsia="it-IT"/>
        </w:rPr>
        <w:lastRenderedPageBreak/>
        <w:t xml:space="preserve">development priorities for the area. One of the main causes identified by stakeholders was the too broad definition of objectives and the excessive number of types of eligible interventions. </w:t>
      </w:r>
    </w:p>
    <w:p w:rsidR="001C756E" w:rsidRPr="00FF17EC" w:rsidRDefault="001C756E" w:rsidP="001C756E">
      <w:pPr>
        <w:rPr>
          <w:lang w:eastAsia="it-IT"/>
        </w:rPr>
      </w:pPr>
      <w:r w:rsidRPr="00FF17EC">
        <w:rPr>
          <w:lang w:eastAsia="it-IT"/>
        </w:rPr>
        <w:t>Programme Stakeholders also pointed out the need of stronger coordination with the central administrative level in each country and with the MAs of other IPA Programmes covering overlapping eligible regions (Romania – Serbia, Hungary – Serbia and Bulgaria – Serbia) and with the European macro-regional strategies relevant to the cross-border area</w:t>
      </w:r>
      <w:r w:rsidRPr="00FF17EC">
        <w:rPr>
          <w:rStyle w:val="FootnoteReference"/>
          <w:lang w:eastAsia="it-IT"/>
        </w:rPr>
        <w:footnoteReference w:id="58"/>
      </w:r>
      <w:r w:rsidRPr="00FF17EC">
        <w:rPr>
          <w:lang w:eastAsia="it-IT"/>
        </w:rPr>
        <w:t xml:space="preserve">. </w:t>
      </w:r>
    </w:p>
    <w:p w:rsidR="001C756E" w:rsidRPr="00FF17EC" w:rsidRDefault="001C756E" w:rsidP="001C756E">
      <w:pPr>
        <w:rPr>
          <w:lang w:eastAsia="it-IT"/>
        </w:rPr>
      </w:pPr>
    </w:p>
    <w:p w:rsidR="001C756E" w:rsidRPr="00FF17EC" w:rsidRDefault="001C756E" w:rsidP="001C756E">
      <w:pPr>
        <w:rPr>
          <w:lang w:eastAsia="it-IT"/>
        </w:rPr>
      </w:pPr>
      <w:r w:rsidRPr="00FF17EC">
        <w:rPr>
          <w:lang w:eastAsia="it-IT"/>
        </w:rPr>
        <w:t xml:space="preserve">The two calls attracted partners almost homogenously spread over the eligible area (map below).On the </w:t>
      </w:r>
    </w:p>
    <w:p w:rsidR="001C756E" w:rsidRPr="00FF17EC" w:rsidRDefault="001C756E" w:rsidP="001C756E">
      <w:pPr>
        <w:jc w:val="center"/>
      </w:pPr>
      <w:r w:rsidRPr="00FF17EC">
        <w:rPr>
          <w:noProof/>
          <w:bdr w:val="single" w:sz="4" w:space="0" w:color="auto"/>
          <w:lang w:eastAsia="en-GB"/>
        </w:rPr>
        <w:drawing>
          <wp:inline distT="0" distB="0" distL="0" distR="0">
            <wp:extent cx="3905250" cy="2763658"/>
            <wp:effectExtent l="19050" t="0" r="0" b="0"/>
            <wp:docPr id="40" name="Immagine 5" descr="Partner l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ner location.jpg"/>
                    <pic:cNvPicPr/>
                  </pic:nvPicPr>
                  <pic:blipFill>
                    <a:blip r:embed="rId53"/>
                    <a:stretch>
                      <a:fillRect/>
                    </a:stretch>
                  </pic:blipFill>
                  <pic:spPr>
                    <a:xfrm>
                      <a:off x="0" y="0"/>
                      <a:ext cx="3911846" cy="2768326"/>
                    </a:xfrm>
                    <a:prstGeom prst="rect">
                      <a:avLst/>
                    </a:prstGeom>
                  </pic:spPr>
                </pic:pic>
              </a:graphicData>
            </a:graphic>
          </wp:inline>
        </w:drawing>
      </w:r>
    </w:p>
    <w:p w:rsidR="001C756E" w:rsidRPr="00FF17EC" w:rsidRDefault="001C756E" w:rsidP="001C756E">
      <w:pPr>
        <w:pStyle w:val="Caption"/>
        <w:spacing w:after="0" w:line="240" w:lineRule="auto"/>
        <w:ind w:right="45"/>
        <w:jc w:val="center"/>
      </w:pPr>
      <w:r w:rsidRPr="00FF17EC">
        <w:t xml:space="preserve">Map </w:t>
      </w:r>
      <w:r w:rsidR="005C4AE7" w:rsidRPr="00FF17EC">
        <w:t>12</w:t>
      </w:r>
      <w:r w:rsidRPr="00FF17EC">
        <w:noBreakHyphen/>
      </w:r>
      <w:r w:rsidR="00085686" w:rsidRPr="00FF17EC">
        <w:fldChar w:fldCharType="begin"/>
      </w:r>
      <w:r w:rsidR="00EE702C" w:rsidRPr="00FF17EC">
        <w:instrText xml:space="preserve"> SEQ Map \* ARABIC \s 1 </w:instrText>
      </w:r>
      <w:r w:rsidR="00085686" w:rsidRPr="00FF17EC">
        <w:fldChar w:fldCharType="separate"/>
      </w:r>
      <w:r w:rsidR="009737E5">
        <w:rPr>
          <w:noProof/>
        </w:rPr>
        <w:t>1</w:t>
      </w:r>
      <w:r w:rsidR="00085686" w:rsidRPr="00FF17EC">
        <w:rPr>
          <w:noProof/>
        </w:rPr>
        <w:fldChar w:fldCharType="end"/>
      </w:r>
      <w:r w:rsidRPr="00FF17EC">
        <w:t xml:space="preserve"> Location of project partners in the current </w:t>
      </w:r>
    </w:p>
    <w:p w:rsidR="001C756E" w:rsidRPr="00FF17EC" w:rsidRDefault="001C756E" w:rsidP="001C756E">
      <w:pPr>
        <w:pStyle w:val="Caption"/>
        <w:spacing w:after="0" w:line="240" w:lineRule="auto"/>
        <w:ind w:right="45"/>
        <w:jc w:val="center"/>
      </w:pPr>
      <w:r w:rsidRPr="00FF17EC">
        <w:t>CBC programme Serbia Romania</w:t>
      </w:r>
    </w:p>
    <w:p w:rsidR="001C756E" w:rsidRPr="00FF17EC" w:rsidRDefault="001C756E" w:rsidP="001C756E">
      <w:pPr>
        <w:rPr>
          <w:lang w:eastAsia="it-IT"/>
        </w:rPr>
      </w:pPr>
    </w:p>
    <w:p w:rsidR="001C756E" w:rsidRPr="00FF17EC" w:rsidRDefault="001C756E" w:rsidP="001C756E">
      <w:pPr>
        <w:rPr>
          <w:lang w:eastAsia="it-IT"/>
        </w:rPr>
      </w:pPr>
      <w:r w:rsidRPr="00FF17EC">
        <w:rPr>
          <w:lang w:eastAsia="it-IT"/>
        </w:rPr>
        <w:t xml:space="preserve">The territorial distribution of projects shows that all counties and districts have been involved. In Serbia, at least one application was submitted from most of the municipalities. In Romania the applications where submitted by entities located in the main centers, but the numbers were much higher. </w:t>
      </w:r>
    </w:p>
    <w:p w:rsidR="001C756E" w:rsidRPr="00FF17EC" w:rsidRDefault="001C756E" w:rsidP="001C756E">
      <w:pPr>
        <w:rPr>
          <w:lang w:eastAsia="it-IT"/>
        </w:rPr>
      </w:pPr>
      <w:r w:rsidRPr="00FF17EC">
        <w:rPr>
          <w:lang w:eastAsia="it-IT"/>
        </w:rPr>
        <w:lastRenderedPageBreak/>
        <w:t>A concentration of project applications in Timiș County and in Centre and South Banat, can be observed, both in terms of number of applications and in terms of total cost of projects.</w:t>
      </w:r>
      <w:r w:rsidR="00634723" w:rsidRPr="00FF17EC">
        <w:rPr>
          <w:lang w:eastAsia="it-IT"/>
        </w:rPr>
        <w:t xml:space="preserve"> </w:t>
      </w:r>
      <w:r w:rsidRPr="00FF17EC">
        <w:rPr>
          <w:lang w:eastAsia="it-IT"/>
        </w:rPr>
        <w:t>However, the relative distribution of project applications, compared to the population, proves that the Caraș Severin and Mehedinți counties have been even more active than the Timiș county, and the Borski province, has been more active</w:t>
      </w:r>
      <w:r w:rsidR="00634723" w:rsidRPr="00FF17EC">
        <w:rPr>
          <w:lang w:eastAsia="it-IT"/>
        </w:rPr>
        <w:t xml:space="preserve"> </w:t>
      </w:r>
      <w:r w:rsidRPr="00FF17EC">
        <w:rPr>
          <w:lang w:eastAsia="it-IT"/>
        </w:rPr>
        <w:t>than the two Banat counties</w:t>
      </w:r>
    </w:p>
    <w:p w:rsidR="001C756E" w:rsidRPr="00FF17EC" w:rsidRDefault="001C756E" w:rsidP="001C756E">
      <w:pPr>
        <w:rPr>
          <w:lang w:eastAsia="it-IT"/>
        </w:rPr>
      </w:pPr>
      <w:r w:rsidRPr="00FF17EC">
        <w:rPr>
          <w:noProof/>
          <w:lang w:eastAsia="en-GB"/>
        </w:rPr>
        <w:drawing>
          <wp:inline distT="0" distB="0" distL="0" distR="0">
            <wp:extent cx="4861295" cy="2488019"/>
            <wp:effectExtent l="19050" t="0" r="0" b="0"/>
            <wp:docPr id="4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srcRect/>
                    <a:stretch>
                      <a:fillRect/>
                    </a:stretch>
                  </pic:blipFill>
                  <pic:spPr bwMode="auto">
                    <a:xfrm>
                      <a:off x="0" y="0"/>
                      <a:ext cx="4868565" cy="2491740"/>
                    </a:xfrm>
                    <a:prstGeom prst="rect">
                      <a:avLst/>
                    </a:prstGeom>
                    <a:noFill/>
                  </pic:spPr>
                </pic:pic>
              </a:graphicData>
            </a:graphic>
          </wp:inline>
        </w:drawing>
      </w:r>
    </w:p>
    <w:p w:rsidR="001C756E" w:rsidRPr="00FF17EC" w:rsidRDefault="001C756E" w:rsidP="001C756E">
      <w:pPr>
        <w:pStyle w:val="Caption"/>
      </w:pPr>
      <w:r w:rsidRPr="00FF17EC">
        <w:t xml:space="preserve">Graph </w:t>
      </w:r>
      <w:r w:rsidR="005C4AE7" w:rsidRPr="00FF17EC">
        <w:t>12</w:t>
      </w:r>
      <w:r w:rsidRPr="00FF17EC">
        <w:noBreakHyphen/>
      </w:r>
      <w:r w:rsidR="00085686" w:rsidRPr="00FF17EC">
        <w:fldChar w:fldCharType="begin"/>
      </w:r>
      <w:r w:rsidR="00EE702C" w:rsidRPr="00FF17EC">
        <w:instrText xml:space="preserve"> SEQ Graph \* ARABIC \s 1 </w:instrText>
      </w:r>
      <w:r w:rsidR="00085686" w:rsidRPr="00FF17EC">
        <w:fldChar w:fldCharType="separate"/>
      </w:r>
      <w:r w:rsidR="009737E5">
        <w:rPr>
          <w:noProof/>
        </w:rPr>
        <w:t>1</w:t>
      </w:r>
      <w:r w:rsidR="00085686" w:rsidRPr="00FF17EC">
        <w:rPr>
          <w:noProof/>
        </w:rPr>
        <w:fldChar w:fldCharType="end"/>
      </w:r>
      <w:r w:rsidRPr="00FF17EC">
        <w:t xml:space="preserve"> Indicator of project “density” in the eligible area</w:t>
      </w:r>
    </w:p>
    <w:p w:rsidR="001C756E" w:rsidRPr="00FF17EC" w:rsidRDefault="001C756E" w:rsidP="001C756E">
      <w:pPr>
        <w:rPr>
          <w:lang w:eastAsia="it-IT"/>
        </w:rPr>
      </w:pPr>
    </w:p>
    <w:p w:rsidR="001C756E" w:rsidRPr="00FF17EC" w:rsidRDefault="001C756E" w:rsidP="001C756E">
      <w:pPr>
        <w:rPr>
          <w:lang w:eastAsia="it-IT"/>
        </w:rPr>
      </w:pPr>
      <w:r w:rsidRPr="00FF17EC">
        <w:rPr>
          <w:lang w:eastAsia="it-IT"/>
        </w:rPr>
        <w:t xml:space="preserve">The results of the two calls for projects carried out during the programme implementation proved that the target groups generated a large number of projects addressing all priorities. </w:t>
      </w:r>
    </w:p>
    <w:p w:rsidR="001C756E" w:rsidRPr="00FF17EC" w:rsidRDefault="001C756E" w:rsidP="001C756E">
      <w:pPr>
        <w:rPr>
          <w:lang w:eastAsia="it-IT"/>
        </w:rPr>
      </w:pPr>
      <w:r w:rsidRPr="00FF17EC">
        <w:rPr>
          <w:lang w:eastAsia="it-IT"/>
        </w:rPr>
        <w:t>A lower performance has been observed for the priority 2, for Environment and Emergency Preparedness (see tables below) .</w:t>
      </w:r>
      <w:r w:rsidR="00634723" w:rsidRPr="00FF17EC">
        <w:rPr>
          <w:lang w:eastAsia="it-IT"/>
        </w:rPr>
        <w:t xml:space="preserve"> </w:t>
      </w:r>
      <w:r w:rsidRPr="00FF17EC">
        <w:rPr>
          <w:lang w:eastAsia="it-IT"/>
        </w:rPr>
        <w:t>According to the stakeholders, the main reason is due to the difficulty for NGOs to access to this priority. The second call, dedicated to the priority 2, coordinated to the strategy of the Danube Region, led to the approval of 4 projects</w:t>
      </w:r>
      <w:r w:rsidR="00634723" w:rsidRPr="00FF17EC">
        <w:rPr>
          <w:lang w:eastAsia="it-IT"/>
        </w:rPr>
        <w:t xml:space="preserve"> </w:t>
      </w:r>
      <w:r w:rsidRPr="00FF17EC">
        <w:rPr>
          <w:lang w:eastAsia="it-IT"/>
        </w:rPr>
        <w:t xml:space="preserve">on environmental protection and emergency management. </w:t>
      </w:r>
    </w:p>
    <w:p w:rsidR="001C756E" w:rsidRPr="00FF17EC" w:rsidRDefault="001C756E" w:rsidP="001C756E">
      <w:pPr>
        <w:rPr>
          <w:lang w:eastAsia="it-IT"/>
        </w:rPr>
      </w:pPr>
      <w:r w:rsidRPr="00FF17EC">
        <w:rPr>
          <w:lang w:eastAsia="it-IT"/>
        </w:rPr>
        <w:t>The type of</w:t>
      </w:r>
      <w:r w:rsidR="00634723" w:rsidRPr="00FF17EC">
        <w:rPr>
          <w:lang w:eastAsia="it-IT"/>
        </w:rPr>
        <w:t xml:space="preserve"> </w:t>
      </w:r>
      <w:r w:rsidRPr="00FF17EC">
        <w:rPr>
          <w:lang w:eastAsia="it-IT"/>
        </w:rPr>
        <w:t>project partners include first Public administrations, that where awarded the largest part of funds. Educational and Health care services institutions</w:t>
      </w:r>
      <w:r w:rsidR="00634723" w:rsidRPr="00FF17EC">
        <w:rPr>
          <w:lang w:eastAsia="it-IT"/>
        </w:rPr>
        <w:t xml:space="preserve"> </w:t>
      </w:r>
      <w:r w:rsidRPr="00FF17EC">
        <w:rPr>
          <w:lang w:eastAsia="it-IT"/>
        </w:rPr>
        <w:t>are the second most relevant type of partners in terms of funds allocated. NGOs and cultural organizations are present only in the priority</w:t>
      </w:r>
      <w:r w:rsidR="00634723" w:rsidRPr="00FF17EC">
        <w:rPr>
          <w:lang w:eastAsia="it-IT"/>
        </w:rPr>
        <w:t xml:space="preserve"> </w:t>
      </w:r>
      <w:r w:rsidRPr="00FF17EC">
        <w:rPr>
          <w:lang w:eastAsia="it-IT"/>
        </w:rPr>
        <w:t>3.</w:t>
      </w:r>
      <w:r w:rsidR="00634723" w:rsidRPr="00FF17EC">
        <w:rPr>
          <w:lang w:eastAsia="it-IT"/>
        </w:rPr>
        <w:t xml:space="preserve"> </w:t>
      </w:r>
      <w:r w:rsidRPr="00FF17EC">
        <w:rPr>
          <w:lang w:eastAsia="it-IT"/>
        </w:rPr>
        <w:t>In the priority 2, as already discussed, are present only public administrations.</w:t>
      </w:r>
    </w:p>
    <w:p w:rsidR="001C756E" w:rsidRPr="00FF17EC" w:rsidRDefault="005A52D9" w:rsidP="001C756E">
      <w:pPr>
        <w:rPr>
          <w:lang w:eastAsia="it-IT"/>
        </w:rPr>
      </w:pPr>
      <w:r w:rsidRPr="00FF17EC">
        <w:rPr>
          <w:lang w:eastAsia="it-IT"/>
        </w:rPr>
        <w:lastRenderedPageBreak/>
        <w:t xml:space="preserve"> </w:t>
      </w:r>
    </w:p>
    <w:tbl>
      <w:tblPr>
        <w:tblW w:w="6149" w:type="dxa"/>
        <w:jc w:val="center"/>
        <w:tblCellMar>
          <w:left w:w="70" w:type="dxa"/>
          <w:right w:w="70" w:type="dxa"/>
        </w:tblCellMar>
        <w:tblLook w:val="04A0" w:firstRow="1" w:lastRow="0" w:firstColumn="1" w:lastColumn="0" w:noHBand="0" w:noVBand="1"/>
      </w:tblPr>
      <w:tblGrid>
        <w:gridCol w:w="2535"/>
        <w:gridCol w:w="22"/>
        <w:gridCol w:w="810"/>
        <w:gridCol w:w="109"/>
        <w:gridCol w:w="701"/>
        <w:gridCol w:w="8"/>
        <w:gridCol w:w="709"/>
        <w:gridCol w:w="93"/>
        <w:gridCol w:w="1120"/>
        <w:gridCol w:w="42"/>
      </w:tblGrid>
      <w:tr w:rsidR="001C756E" w:rsidRPr="00FF17EC" w:rsidTr="001C756E">
        <w:trPr>
          <w:trHeight w:val="255"/>
          <w:jc w:val="center"/>
        </w:trPr>
        <w:tc>
          <w:tcPr>
            <w:tcW w:w="4894" w:type="dxa"/>
            <w:gridSpan w:val="7"/>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b/>
                <w:lang w:eastAsia="it-IT"/>
              </w:rPr>
            </w:pPr>
            <w:r w:rsidRPr="00FF17EC">
              <w:rPr>
                <w:rFonts w:cs="Arial"/>
                <w:b/>
                <w:lang w:eastAsia="it-IT"/>
              </w:rPr>
              <w:t>Project budget per type of organization lead partner First Call</w:t>
            </w:r>
          </w:p>
        </w:tc>
        <w:tc>
          <w:tcPr>
            <w:tcW w:w="1255"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b/>
                <w:lang w:eastAsia="it-IT"/>
              </w:rPr>
            </w:pPr>
          </w:p>
        </w:tc>
      </w:tr>
      <w:tr w:rsidR="001C756E" w:rsidRPr="00FF17EC" w:rsidTr="001C756E">
        <w:trPr>
          <w:trHeight w:val="255"/>
          <w:jc w:val="center"/>
        </w:trPr>
        <w:tc>
          <w:tcPr>
            <w:tcW w:w="25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 </w:t>
            </w:r>
          </w:p>
        </w:tc>
        <w:tc>
          <w:tcPr>
            <w:tcW w:w="2359" w:type="dxa"/>
            <w:gridSpan w:val="6"/>
            <w:tcBorders>
              <w:top w:val="single" w:sz="4" w:space="0" w:color="auto"/>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center"/>
              <w:rPr>
                <w:rFonts w:cs="Arial"/>
                <w:lang w:eastAsia="it-IT"/>
              </w:rPr>
            </w:pPr>
            <w:r w:rsidRPr="00FF17EC">
              <w:rPr>
                <w:rFonts w:cs="Arial"/>
                <w:lang w:eastAsia="it-IT"/>
              </w:rPr>
              <w:t>Priority</w:t>
            </w:r>
          </w:p>
        </w:tc>
        <w:tc>
          <w:tcPr>
            <w:tcW w:w="1255" w:type="dxa"/>
            <w:gridSpan w:val="3"/>
            <w:tcBorders>
              <w:top w:val="single" w:sz="4" w:space="0" w:color="auto"/>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r w:rsidRPr="00FF17EC">
              <w:rPr>
                <w:rFonts w:cs="Arial"/>
                <w:lang w:eastAsia="it-IT"/>
              </w:rPr>
              <w:t> </w:t>
            </w:r>
          </w:p>
        </w:tc>
      </w:tr>
      <w:tr w:rsidR="001C756E" w:rsidRPr="00FF17EC" w:rsidTr="001C756E">
        <w:trPr>
          <w:trHeight w:val="255"/>
          <w:jc w:val="center"/>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Type of organization</w:t>
            </w:r>
          </w:p>
        </w:tc>
        <w:tc>
          <w:tcPr>
            <w:tcW w:w="941" w:type="dxa"/>
            <w:gridSpan w:val="3"/>
            <w:tcBorders>
              <w:top w:val="nil"/>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2</w:t>
            </w:r>
          </w:p>
        </w:tc>
        <w:tc>
          <w:tcPr>
            <w:tcW w:w="709" w:type="dxa"/>
            <w:tcBorders>
              <w:top w:val="nil"/>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3</w:t>
            </w:r>
          </w:p>
        </w:tc>
        <w:tc>
          <w:tcPr>
            <w:tcW w:w="1255" w:type="dxa"/>
            <w:gridSpan w:val="3"/>
            <w:tcBorders>
              <w:top w:val="nil"/>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r w:rsidRPr="00FF17EC">
              <w:rPr>
                <w:rFonts w:cs="Arial"/>
                <w:lang w:eastAsia="it-IT"/>
              </w:rPr>
              <w:t>total</w:t>
            </w:r>
          </w:p>
        </w:tc>
      </w:tr>
      <w:tr w:rsidR="001C756E" w:rsidRPr="00FF17EC" w:rsidTr="001C756E">
        <w:trPr>
          <w:trHeight w:val="255"/>
          <w:jc w:val="center"/>
        </w:trPr>
        <w:tc>
          <w:tcPr>
            <w:tcW w:w="2535"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Business</w:t>
            </w:r>
          </w:p>
        </w:tc>
        <w:tc>
          <w:tcPr>
            <w:tcW w:w="941"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6%</w:t>
            </w:r>
          </w:p>
        </w:tc>
        <w:tc>
          <w:tcPr>
            <w:tcW w:w="709" w:type="dxa"/>
            <w:gridSpan w:val="2"/>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p>
        </w:tc>
        <w:tc>
          <w:tcPr>
            <w:tcW w:w="709"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0%</w:t>
            </w:r>
          </w:p>
        </w:tc>
        <w:tc>
          <w:tcPr>
            <w:tcW w:w="1255"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3%</w:t>
            </w:r>
          </w:p>
        </w:tc>
      </w:tr>
      <w:tr w:rsidR="001C756E" w:rsidRPr="00FF17EC" w:rsidTr="001C756E">
        <w:trPr>
          <w:trHeight w:val="255"/>
          <w:jc w:val="center"/>
        </w:trPr>
        <w:tc>
          <w:tcPr>
            <w:tcW w:w="2535"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Cultural</w:t>
            </w:r>
          </w:p>
        </w:tc>
        <w:tc>
          <w:tcPr>
            <w:tcW w:w="941"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4%</w:t>
            </w:r>
          </w:p>
        </w:tc>
        <w:tc>
          <w:tcPr>
            <w:tcW w:w="709" w:type="dxa"/>
            <w:gridSpan w:val="2"/>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p>
        </w:tc>
        <w:tc>
          <w:tcPr>
            <w:tcW w:w="709"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37%</w:t>
            </w:r>
          </w:p>
        </w:tc>
        <w:tc>
          <w:tcPr>
            <w:tcW w:w="1255"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9%</w:t>
            </w:r>
          </w:p>
        </w:tc>
      </w:tr>
      <w:tr w:rsidR="001C756E" w:rsidRPr="00FF17EC" w:rsidTr="001C756E">
        <w:trPr>
          <w:trHeight w:val="255"/>
          <w:jc w:val="center"/>
        </w:trPr>
        <w:tc>
          <w:tcPr>
            <w:tcW w:w="2535"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Educational</w:t>
            </w:r>
          </w:p>
        </w:tc>
        <w:tc>
          <w:tcPr>
            <w:tcW w:w="941"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p>
        </w:tc>
        <w:tc>
          <w:tcPr>
            <w:tcW w:w="709" w:type="dxa"/>
            <w:gridSpan w:val="2"/>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p>
        </w:tc>
        <w:tc>
          <w:tcPr>
            <w:tcW w:w="709"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26%</w:t>
            </w:r>
          </w:p>
        </w:tc>
        <w:tc>
          <w:tcPr>
            <w:tcW w:w="1255"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11%</w:t>
            </w:r>
          </w:p>
        </w:tc>
      </w:tr>
      <w:tr w:rsidR="001C756E" w:rsidRPr="00FF17EC" w:rsidTr="001C756E">
        <w:trPr>
          <w:trHeight w:val="255"/>
          <w:jc w:val="center"/>
        </w:trPr>
        <w:tc>
          <w:tcPr>
            <w:tcW w:w="2535"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 xml:space="preserve">Health care services </w:t>
            </w:r>
          </w:p>
        </w:tc>
        <w:tc>
          <w:tcPr>
            <w:tcW w:w="941"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15%</w:t>
            </w:r>
          </w:p>
        </w:tc>
        <w:tc>
          <w:tcPr>
            <w:tcW w:w="709" w:type="dxa"/>
            <w:gridSpan w:val="2"/>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p>
        </w:tc>
        <w:tc>
          <w:tcPr>
            <w:tcW w:w="709"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p>
        </w:tc>
        <w:tc>
          <w:tcPr>
            <w:tcW w:w="1255"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9%</w:t>
            </w:r>
          </w:p>
        </w:tc>
      </w:tr>
      <w:tr w:rsidR="001C756E" w:rsidRPr="00FF17EC" w:rsidTr="001C756E">
        <w:trPr>
          <w:trHeight w:val="255"/>
          <w:jc w:val="center"/>
        </w:trPr>
        <w:tc>
          <w:tcPr>
            <w:tcW w:w="2535"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NGO</w:t>
            </w:r>
          </w:p>
        </w:tc>
        <w:tc>
          <w:tcPr>
            <w:tcW w:w="941"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p>
        </w:tc>
        <w:tc>
          <w:tcPr>
            <w:tcW w:w="709" w:type="dxa"/>
            <w:gridSpan w:val="2"/>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left"/>
              <w:rPr>
                <w:rFonts w:cs="Arial"/>
                <w:lang w:eastAsia="it-IT"/>
              </w:rPr>
            </w:pPr>
          </w:p>
        </w:tc>
        <w:tc>
          <w:tcPr>
            <w:tcW w:w="709"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23%</w:t>
            </w:r>
          </w:p>
        </w:tc>
        <w:tc>
          <w:tcPr>
            <w:tcW w:w="1255"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4%</w:t>
            </w:r>
          </w:p>
        </w:tc>
      </w:tr>
      <w:tr w:rsidR="001C756E" w:rsidRPr="00FF17EC" w:rsidTr="001C756E">
        <w:trPr>
          <w:trHeight w:val="255"/>
          <w:jc w:val="center"/>
        </w:trPr>
        <w:tc>
          <w:tcPr>
            <w:tcW w:w="2535"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Public Administration</w:t>
            </w:r>
          </w:p>
        </w:tc>
        <w:tc>
          <w:tcPr>
            <w:tcW w:w="941"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64%</w:t>
            </w:r>
          </w:p>
        </w:tc>
        <w:tc>
          <w:tcPr>
            <w:tcW w:w="709" w:type="dxa"/>
            <w:gridSpan w:val="2"/>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100%</w:t>
            </w:r>
          </w:p>
        </w:tc>
        <w:tc>
          <w:tcPr>
            <w:tcW w:w="709" w:type="dxa"/>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14%</w:t>
            </w:r>
          </w:p>
        </w:tc>
        <w:tc>
          <w:tcPr>
            <w:tcW w:w="1255" w:type="dxa"/>
            <w:gridSpan w:val="3"/>
            <w:tcBorders>
              <w:top w:val="nil"/>
              <w:left w:val="nil"/>
              <w:bottom w:val="nil"/>
              <w:right w:val="nil"/>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64%</w:t>
            </w:r>
          </w:p>
        </w:tc>
      </w:tr>
      <w:tr w:rsidR="001C756E" w:rsidRPr="00FF17EC" w:rsidTr="001C756E">
        <w:trPr>
          <w:trHeight w:val="255"/>
          <w:jc w:val="center"/>
        </w:trPr>
        <w:tc>
          <w:tcPr>
            <w:tcW w:w="25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Total</w:t>
            </w:r>
          </w:p>
        </w:tc>
        <w:tc>
          <w:tcPr>
            <w:tcW w:w="941" w:type="dxa"/>
            <w:gridSpan w:val="3"/>
            <w:tcBorders>
              <w:top w:val="single" w:sz="4" w:space="0" w:color="auto"/>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100%</w:t>
            </w:r>
          </w:p>
        </w:tc>
        <w:tc>
          <w:tcPr>
            <w:tcW w:w="709" w:type="dxa"/>
            <w:gridSpan w:val="2"/>
            <w:tcBorders>
              <w:top w:val="single" w:sz="4" w:space="0" w:color="auto"/>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100%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100%</w:t>
            </w:r>
          </w:p>
        </w:tc>
        <w:tc>
          <w:tcPr>
            <w:tcW w:w="1255" w:type="dxa"/>
            <w:gridSpan w:val="3"/>
            <w:tcBorders>
              <w:top w:val="single" w:sz="4" w:space="0" w:color="auto"/>
              <w:left w:val="nil"/>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Arial"/>
                <w:lang w:eastAsia="it-IT"/>
              </w:rPr>
            </w:pPr>
            <w:r w:rsidRPr="00FF17EC">
              <w:rPr>
                <w:rFonts w:cs="Arial"/>
                <w:lang w:eastAsia="it-IT"/>
              </w:rPr>
              <w:t>100%</w:t>
            </w:r>
          </w:p>
        </w:tc>
      </w:tr>
      <w:tr w:rsidR="001C756E" w:rsidRPr="00FF17EC" w:rsidTr="001C756E">
        <w:trPr>
          <w:gridAfter w:val="1"/>
          <w:wAfter w:w="42" w:type="dxa"/>
          <w:trHeight w:val="285"/>
          <w:jc w:val="center"/>
        </w:trPr>
        <w:tc>
          <w:tcPr>
            <w:tcW w:w="4987" w:type="dxa"/>
            <w:gridSpan w:val="8"/>
            <w:tcBorders>
              <w:top w:val="nil"/>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jc w:val="left"/>
              <w:rPr>
                <w:rFonts w:cs="Times New Roman"/>
                <w:b/>
                <w:color w:val="000000"/>
                <w:lang w:eastAsia="it-IT"/>
              </w:rPr>
            </w:pPr>
            <w:r w:rsidRPr="00FF17EC">
              <w:rPr>
                <w:rFonts w:cs="Times New Roman"/>
                <w:b/>
                <w:color w:val="000000"/>
                <w:lang w:eastAsia="it-IT"/>
              </w:rPr>
              <w:t>Second Call</w:t>
            </w:r>
          </w:p>
        </w:tc>
        <w:tc>
          <w:tcPr>
            <w:tcW w:w="1120" w:type="dxa"/>
            <w:tcBorders>
              <w:top w:val="nil"/>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jc w:val="left"/>
              <w:rPr>
                <w:rFonts w:cs="Times New Roman"/>
                <w:b/>
                <w:color w:val="000000"/>
                <w:lang w:eastAsia="it-IT"/>
              </w:rPr>
            </w:pPr>
          </w:p>
        </w:tc>
      </w:tr>
      <w:tr w:rsidR="001C756E" w:rsidRPr="00FF17EC" w:rsidTr="001C756E">
        <w:trPr>
          <w:gridAfter w:val="1"/>
          <w:wAfter w:w="42" w:type="dxa"/>
          <w:trHeight w:val="300"/>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 </w:t>
            </w:r>
          </w:p>
        </w:tc>
        <w:tc>
          <w:tcPr>
            <w:tcW w:w="243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center"/>
              <w:rPr>
                <w:rFonts w:cs="Times New Roman"/>
                <w:color w:val="000000"/>
                <w:lang w:eastAsia="it-IT"/>
              </w:rPr>
            </w:pPr>
            <w:r w:rsidRPr="00FF17EC">
              <w:rPr>
                <w:rFonts w:cs="Times New Roman"/>
                <w:color w:val="000000"/>
                <w:lang w:eastAsia="it-IT"/>
              </w:rPr>
              <w:t>Priority</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left"/>
              <w:rPr>
                <w:rFonts w:cs="Times New Roman"/>
                <w:color w:val="000000"/>
                <w:lang w:eastAsia="it-IT"/>
              </w:rPr>
            </w:pPr>
            <w:r w:rsidRPr="00FF17EC">
              <w:rPr>
                <w:rFonts w:cs="Times New Roman"/>
                <w:color w:val="000000"/>
                <w:lang w:eastAsia="it-IT"/>
              </w:rPr>
              <w:t> </w:t>
            </w:r>
          </w:p>
        </w:tc>
      </w:tr>
      <w:tr w:rsidR="001C756E" w:rsidRPr="00FF17EC" w:rsidTr="001C756E">
        <w:trPr>
          <w:gridAfter w:val="1"/>
          <w:wAfter w:w="42" w:type="dxa"/>
          <w:trHeight w:val="300"/>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Type of organization</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1</w:t>
            </w:r>
          </w:p>
        </w:tc>
        <w:tc>
          <w:tcPr>
            <w:tcW w:w="81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2</w:t>
            </w:r>
          </w:p>
        </w:tc>
        <w:tc>
          <w:tcPr>
            <w:tcW w:w="8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3</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left"/>
              <w:rPr>
                <w:rFonts w:cs="Times New Roman"/>
                <w:color w:val="000000"/>
                <w:lang w:eastAsia="it-IT"/>
              </w:rPr>
            </w:pPr>
            <w:r w:rsidRPr="00FF17EC">
              <w:rPr>
                <w:rFonts w:cs="Times New Roman"/>
                <w:color w:val="000000"/>
                <w:lang w:eastAsia="it-IT"/>
              </w:rPr>
              <w:t>total</w:t>
            </w:r>
          </w:p>
        </w:tc>
      </w:tr>
      <w:tr w:rsidR="001C756E" w:rsidRPr="00FF17EC" w:rsidTr="001C756E">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Business</w:t>
            </w:r>
          </w:p>
        </w:tc>
        <w:tc>
          <w:tcPr>
            <w:tcW w:w="81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8%</w:t>
            </w:r>
          </w:p>
        </w:tc>
        <w:tc>
          <w:tcPr>
            <w:tcW w:w="810"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left"/>
              <w:rPr>
                <w:rFonts w:cs="Times New Roman"/>
                <w:color w:val="000000"/>
                <w:lang w:eastAsia="it-IT"/>
              </w:rPr>
            </w:pPr>
          </w:p>
        </w:tc>
        <w:tc>
          <w:tcPr>
            <w:tcW w:w="810" w:type="dxa"/>
            <w:gridSpan w:val="3"/>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8%</w:t>
            </w:r>
          </w:p>
        </w:tc>
        <w:tc>
          <w:tcPr>
            <w:tcW w:w="112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6%</w:t>
            </w:r>
          </w:p>
        </w:tc>
      </w:tr>
      <w:tr w:rsidR="001C756E" w:rsidRPr="00FF17EC" w:rsidTr="001C756E">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Cultural</w:t>
            </w:r>
          </w:p>
        </w:tc>
        <w:tc>
          <w:tcPr>
            <w:tcW w:w="81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6%</w:t>
            </w:r>
          </w:p>
        </w:tc>
        <w:tc>
          <w:tcPr>
            <w:tcW w:w="810"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left"/>
              <w:rPr>
                <w:rFonts w:cs="Times New Roman"/>
                <w:color w:val="000000"/>
                <w:lang w:eastAsia="it-IT"/>
              </w:rPr>
            </w:pPr>
          </w:p>
        </w:tc>
        <w:tc>
          <w:tcPr>
            <w:tcW w:w="810" w:type="dxa"/>
            <w:gridSpan w:val="3"/>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11%</w:t>
            </w:r>
          </w:p>
        </w:tc>
        <w:tc>
          <w:tcPr>
            <w:tcW w:w="112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5%</w:t>
            </w:r>
          </w:p>
        </w:tc>
      </w:tr>
      <w:tr w:rsidR="001C756E" w:rsidRPr="00FF17EC" w:rsidTr="001C756E">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Educational</w:t>
            </w:r>
          </w:p>
        </w:tc>
        <w:tc>
          <w:tcPr>
            <w:tcW w:w="81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left"/>
              <w:rPr>
                <w:rFonts w:cs="Times New Roman"/>
                <w:color w:val="000000"/>
                <w:lang w:eastAsia="it-IT"/>
              </w:rPr>
            </w:pPr>
          </w:p>
        </w:tc>
        <w:tc>
          <w:tcPr>
            <w:tcW w:w="810"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left"/>
              <w:rPr>
                <w:rFonts w:cs="Times New Roman"/>
                <w:color w:val="000000"/>
                <w:lang w:eastAsia="it-IT"/>
              </w:rPr>
            </w:pPr>
          </w:p>
        </w:tc>
        <w:tc>
          <w:tcPr>
            <w:tcW w:w="810" w:type="dxa"/>
            <w:gridSpan w:val="3"/>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27%</w:t>
            </w:r>
          </w:p>
        </w:tc>
        <w:tc>
          <w:tcPr>
            <w:tcW w:w="112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4%</w:t>
            </w:r>
          </w:p>
        </w:tc>
      </w:tr>
      <w:tr w:rsidR="001C756E" w:rsidRPr="00FF17EC" w:rsidTr="001C756E">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 xml:space="preserve">Health care services </w:t>
            </w:r>
          </w:p>
        </w:tc>
        <w:tc>
          <w:tcPr>
            <w:tcW w:w="81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9%</w:t>
            </w:r>
          </w:p>
        </w:tc>
        <w:tc>
          <w:tcPr>
            <w:tcW w:w="810"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left"/>
              <w:rPr>
                <w:rFonts w:cs="Times New Roman"/>
                <w:color w:val="000000"/>
                <w:lang w:eastAsia="it-IT"/>
              </w:rPr>
            </w:pPr>
          </w:p>
        </w:tc>
        <w:tc>
          <w:tcPr>
            <w:tcW w:w="810" w:type="dxa"/>
            <w:gridSpan w:val="3"/>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left"/>
              <w:rPr>
                <w:rFonts w:cs="Times New Roman"/>
                <w:color w:val="000000"/>
                <w:lang w:eastAsia="it-IT"/>
              </w:rPr>
            </w:pPr>
          </w:p>
        </w:tc>
        <w:tc>
          <w:tcPr>
            <w:tcW w:w="112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6%</w:t>
            </w:r>
          </w:p>
        </w:tc>
      </w:tr>
      <w:tr w:rsidR="001C756E" w:rsidRPr="00FF17EC" w:rsidTr="001C756E">
        <w:trPr>
          <w:gridAfter w:val="1"/>
          <w:wAfter w:w="42" w:type="dxa"/>
          <w:trHeight w:val="300"/>
          <w:jc w:val="center"/>
        </w:trPr>
        <w:tc>
          <w:tcPr>
            <w:tcW w:w="2557"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NGO</w:t>
            </w:r>
          </w:p>
        </w:tc>
        <w:tc>
          <w:tcPr>
            <w:tcW w:w="81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1%</w:t>
            </w:r>
          </w:p>
        </w:tc>
        <w:tc>
          <w:tcPr>
            <w:tcW w:w="810" w:type="dxa"/>
            <w:gridSpan w:val="2"/>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left"/>
              <w:rPr>
                <w:rFonts w:cs="Times New Roman"/>
                <w:color w:val="000000"/>
                <w:lang w:eastAsia="it-IT"/>
              </w:rPr>
            </w:pPr>
          </w:p>
        </w:tc>
        <w:tc>
          <w:tcPr>
            <w:tcW w:w="810" w:type="dxa"/>
            <w:gridSpan w:val="3"/>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26%</w:t>
            </w:r>
          </w:p>
        </w:tc>
        <w:tc>
          <w:tcPr>
            <w:tcW w:w="1120"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4%</w:t>
            </w:r>
          </w:p>
        </w:tc>
      </w:tr>
      <w:tr w:rsidR="001C756E" w:rsidRPr="00FF17EC" w:rsidTr="001C756E">
        <w:trPr>
          <w:gridAfter w:val="1"/>
          <w:wAfter w:w="42" w:type="dxa"/>
          <w:trHeight w:val="300"/>
          <w:jc w:val="center"/>
        </w:trPr>
        <w:tc>
          <w:tcPr>
            <w:tcW w:w="2557" w:type="dxa"/>
            <w:gridSpan w:val="2"/>
            <w:tcBorders>
              <w:top w:val="nil"/>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Public Administration</w:t>
            </w:r>
          </w:p>
        </w:tc>
        <w:tc>
          <w:tcPr>
            <w:tcW w:w="810" w:type="dxa"/>
            <w:tcBorders>
              <w:top w:val="nil"/>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76%</w:t>
            </w:r>
          </w:p>
        </w:tc>
        <w:tc>
          <w:tcPr>
            <w:tcW w:w="810" w:type="dxa"/>
            <w:gridSpan w:val="2"/>
            <w:tcBorders>
              <w:top w:val="nil"/>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100%</w:t>
            </w:r>
          </w:p>
        </w:tc>
        <w:tc>
          <w:tcPr>
            <w:tcW w:w="810" w:type="dxa"/>
            <w:gridSpan w:val="3"/>
            <w:tcBorders>
              <w:top w:val="nil"/>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29%</w:t>
            </w:r>
          </w:p>
        </w:tc>
        <w:tc>
          <w:tcPr>
            <w:tcW w:w="1120" w:type="dxa"/>
            <w:tcBorders>
              <w:top w:val="nil"/>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75%</w:t>
            </w:r>
          </w:p>
        </w:tc>
      </w:tr>
      <w:tr w:rsidR="001C756E" w:rsidRPr="00FF17EC" w:rsidTr="001C756E">
        <w:trPr>
          <w:gridAfter w:val="1"/>
          <w:wAfter w:w="42" w:type="dxa"/>
          <w:trHeight w:val="300"/>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Total</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100%</w:t>
            </w:r>
          </w:p>
        </w:tc>
        <w:tc>
          <w:tcPr>
            <w:tcW w:w="81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100%</w:t>
            </w:r>
          </w:p>
        </w:tc>
        <w:tc>
          <w:tcPr>
            <w:tcW w:w="8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jc w:val="right"/>
              <w:rPr>
                <w:rFonts w:cs="Times New Roman"/>
                <w:color w:val="000000"/>
                <w:lang w:eastAsia="it-IT"/>
              </w:rPr>
            </w:pPr>
            <w:r w:rsidRPr="00FF17EC">
              <w:rPr>
                <w:rFonts w:cs="Times New Roman"/>
                <w:color w:val="000000"/>
                <w:lang w:eastAsia="it-IT"/>
              </w:rPr>
              <w:t>100%</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jc w:val="right"/>
              <w:rPr>
                <w:rFonts w:cs="Times New Roman"/>
                <w:color w:val="000000"/>
                <w:lang w:eastAsia="it-IT"/>
              </w:rPr>
            </w:pPr>
            <w:r w:rsidRPr="00FF17EC">
              <w:rPr>
                <w:rFonts w:cs="Times New Roman"/>
                <w:color w:val="000000"/>
                <w:lang w:eastAsia="it-IT"/>
              </w:rPr>
              <w:t>100%</w:t>
            </w:r>
          </w:p>
        </w:tc>
      </w:tr>
    </w:tbl>
    <w:p w:rsidR="001C756E" w:rsidRPr="00FF17EC" w:rsidRDefault="001C756E" w:rsidP="001C756E">
      <w:pPr>
        <w:pStyle w:val="Caption"/>
        <w:ind w:left="1560"/>
        <w:rPr>
          <w:b w:val="0"/>
          <w:lang w:eastAsia="it-IT"/>
        </w:rPr>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12</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1</w:t>
      </w:r>
      <w:r w:rsidR="00085686" w:rsidRPr="00FF17EC">
        <w:rPr>
          <w:noProof/>
        </w:rPr>
        <w:fldChar w:fldCharType="end"/>
      </w:r>
      <w:r w:rsidRPr="00FF17EC">
        <w:t xml:space="preserve"> : </w:t>
      </w:r>
      <w:r w:rsidRPr="00FF17EC">
        <w:rPr>
          <w:b w:val="0"/>
        </w:rPr>
        <w:t>Project fund per priority and type of partners</w:t>
      </w:r>
    </w:p>
    <w:p w:rsidR="001C756E" w:rsidRPr="00FF17EC" w:rsidRDefault="001C756E" w:rsidP="001C756E">
      <w:pPr>
        <w:rPr>
          <w:lang w:eastAsia="it-IT"/>
        </w:rPr>
      </w:pPr>
    </w:p>
    <w:tbl>
      <w:tblPr>
        <w:tblW w:w="880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11"/>
        <w:gridCol w:w="1417"/>
        <w:gridCol w:w="1276"/>
      </w:tblGrid>
      <w:tr w:rsidR="001C756E" w:rsidRPr="00FF17EC" w:rsidTr="001C756E">
        <w:trPr>
          <w:trHeight w:val="345"/>
        </w:trPr>
        <w:tc>
          <w:tcPr>
            <w:tcW w:w="6111" w:type="dxa"/>
            <w:shd w:val="clear" w:color="auto" w:fill="auto"/>
            <w:vAlign w:val="bottom"/>
            <w:hideMark/>
          </w:tcPr>
          <w:p w:rsidR="001C756E" w:rsidRPr="00FF17EC" w:rsidRDefault="001C756E" w:rsidP="001C756E">
            <w:pPr>
              <w:keepNext/>
              <w:tabs>
                <w:tab w:val="left" w:pos="1440"/>
              </w:tabs>
              <w:spacing w:after="0" w:line="240" w:lineRule="auto"/>
              <w:jc w:val="center"/>
              <w:rPr>
                <w:rFonts w:cs="Times New Roman"/>
                <w:b/>
                <w:bCs/>
                <w:color w:val="000000"/>
                <w:lang w:val="en-US" w:eastAsia="it-IT"/>
              </w:rPr>
            </w:pPr>
            <w:r w:rsidRPr="00FF17EC">
              <w:rPr>
                <w:rFonts w:cs="Times New Roman"/>
                <w:b/>
                <w:bCs/>
                <w:color w:val="000000"/>
                <w:lang w:val="en-US" w:eastAsia="it-IT"/>
              </w:rPr>
              <w:lastRenderedPageBreak/>
              <w:t>Priorities</w:t>
            </w:r>
          </w:p>
        </w:tc>
        <w:tc>
          <w:tcPr>
            <w:tcW w:w="1417" w:type="dxa"/>
            <w:vAlign w:val="bottom"/>
          </w:tcPr>
          <w:p w:rsidR="001C756E" w:rsidRPr="00FF17EC" w:rsidRDefault="001C756E" w:rsidP="001C756E">
            <w:pPr>
              <w:keepNext/>
              <w:spacing w:after="0" w:line="240" w:lineRule="auto"/>
              <w:jc w:val="center"/>
              <w:rPr>
                <w:rFonts w:cs="Times New Roman"/>
                <w:b/>
                <w:bCs/>
                <w:color w:val="000000"/>
                <w:lang w:val="en-US" w:eastAsia="it-IT"/>
              </w:rPr>
            </w:pPr>
            <w:r w:rsidRPr="00FF17EC">
              <w:rPr>
                <w:rFonts w:cs="Times New Roman"/>
                <w:b/>
                <w:bCs/>
                <w:color w:val="000000"/>
                <w:lang w:val="en-US" w:eastAsia="it-IT"/>
              </w:rPr>
              <w:t>First call</w:t>
            </w:r>
          </w:p>
        </w:tc>
        <w:tc>
          <w:tcPr>
            <w:tcW w:w="1276" w:type="dxa"/>
            <w:vAlign w:val="bottom"/>
          </w:tcPr>
          <w:p w:rsidR="001C756E" w:rsidRPr="00FF17EC" w:rsidRDefault="001C756E" w:rsidP="001C756E">
            <w:pPr>
              <w:keepNext/>
              <w:spacing w:after="0" w:line="240" w:lineRule="auto"/>
              <w:jc w:val="center"/>
              <w:rPr>
                <w:rFonts w:cs="Times New Roman"/>
                <w:b/>
                <w:bCs/>
                <w:color w:val="000000"/>
                <w:lang w:val="en-US" w:eastAsia="it-IT"/>
              </w:rPr>
            </w:pPr>
            <w:r w:rsidRPr="00FF17EC">
              <w:rPr>
                <w:rFonts w:cs="Times New Roman"/>
                <w:b/>
                <w:bCs/>
                <w:color w:val="000000"/>
                <w:lang w:val="en-US" w:eastAsia="it-IT"/>
              </w:rPr>
              <w:t>Second call</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b/>
                <w:bCs/>
                <w:color w:val="000000"/>
                <w:lang w:val="en-US" w:eastAsia="it-IT"/>
              </w:rPr>
            </w:pPr>
            <w:r w:rsidRPr="00FF17EC">
              <w:rPr>
                <w:rFonts w:cs="Times New Roman"/>
                <w:b/>
                <w:bCs/>
                <w:color w:val="000000"/>
                <w:lang w:val="en-US" w:eastAsia="it-IT"/>
              </w:rPr>
              <w:t xml:space="preserve">PA 1 - Economic &amp; Social Development </w:t>
            </w:r>
          </w:p>
        </w:tc>
        <w:tc>
          <w:tcPr>
            <w:tcW w:w="1417" w:type="dxa"/>
            <w:vAlign w:val="bottom"/>
          </w:tcPr>
          <w:p w:rsidR="001C756E" w:rsidRPr="00FF17EC" w:rsidRDefault="001C756E" w:rsidP="001C756E">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62,32%</w:t>
            </w:r>
          </w:p>
        </w:tc>
        <w:tc>
          <w:tcPr>
            <w:tcW w:w="1276" w:type="dxa"/>
            <w:vAlign w:val="bottom"/>
          </w:tcPr>
          <w:p w:rsidR="001C756E" w:rsidRPr="00FF17EC" w:rsidRDefault="001C756E" w:rsidP="001C756E">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63,71%</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1.1 Support for local/ regional economic and social infrastructure</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18,08%</w:t>
            </w:r>
          </w:p>
        </w:tc>
        <w:tc>
          <w:tcPr>
            <w:tcW w:w="1276" w:type="dxa"/>
            <w:vAlign w:val="bottom"/>
          </w:tcPr>
          <w:p w:rsidR="001C756E" w:rsidRPr="00FF17EC" w:rsidRDefault="001C756E" w:rsidP="001C756E">
            <w:pPr>
              <w:keepNext/>
              <w:spacing w:after="0" w:line="240" w:lineRule="auto"/>
              <w:jc w:val="right"/>
              <w:rPr>
                <w:rFonts w:cs="Times New Roman"/>
                <w:color w:val="000000"/>
                <w:lang w:val="en-US" w:eastAsia="it-IT"/>
              </w:rPr>
            </w:pPr>
            <w:r w:rsidRPr="00FF17EC">
              <w:rPr>
                <w:rFonts w:cs="Times New Roman"/>
                <w:color w:val="000000"/>
                <w:lang w:val="en-US" w:eastAsia="it-IT"/>
              </w:rPr>
              <w:t>23,78%</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1.2 Develop the tourism sector, including the strengthening .. </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30,73%</w:t>
            </w:r>
          </w:p>
        </w:tc>
        <w:tc>
          <w:tcPr>
            <w:tcW w:w="1276" w:type="dxa"/>
            <w:vAlign w:val="bottom"/>
          </w:tcPr>
          <w:p w:rsidR="001C756E" w:rsidRPr="00FF17EC" w:rsidRDefault="001C756E" w:rsidP="001C756E">
            <w:pPr>
              <w:keepNext/>
              <w:spacing w:after="0" w:line="240" w:lineRule="auto"/>
              <w:jc w:val="right"/>
              <w:rPr>
                <w:rFonts w:cs="Times New Roman"/>
                <w:color w:val="000000"/>
                <w:lang w:val="en-US" w:eastAsia="it-IT"/>
              </w:rPr>
            </w:pPr>
            <w:r w:rsidRPr="00FF17EC">
              <w:rPr>
                <w:rFonts w:cs="Times New Roman"/>
                <w:color w:val="000000"/>
                <w:lang w:val="en-US" w:eastAsia="it-IT"/>
              </w:rPr>
              <w:t>24,51%</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1.3 Promote SME development </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5,17%</w:t>
            </w:r>
          </w:p>
        </w:tc>
        <w:tc>
          <w:tcPr>
            <w:tcW w:w="1276" w:type="dxa"/>
            <w:vAlign w:val="bottom"/>
          </w:tcPr>
          <w:p w:rsidR="001C756E" w:rsidRPr="00FF17EC" w:rsidRDefault="001C756E" w:rsidP="001C756E">
            <w:pPr>
              <w:keepNext/>
              <w:spacing w:after="0" w:line="240" w:lineRule="auto"/>
              <w:jc w:val="right"/>
              <w:rPr>
                <w:rFonts w:cs="Times New Roman"/>
                <w:color w:val="000000"/>
                <w:lang w:val="en-US" w:eastAsia="it-IT"/>
              </w:rPr>
            </w:pPr>
            <w:r w:rsidRPr="00FF17EC">
              <w:rPr>
                <w:rFonts w:cs="Times New Roman"/>
                <w:color w:val="000000"/>
                <w:lang w:val="en-US" w:eastAsia="it-IT"/>
              </w:rPr>
              <w:t>12,70%</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1.4 Support increased levels of R&amp;D and innovation in the border region </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8,34%</w:t>
            </w:r>
          </w:p>
        </w:tc>
        <w:tc>
          <w:tcPr>
            <w:tcW w:w="1276" w:type="dxa"/>
            <w:vAlign w:val="bottom"/>
          </w:tcPr>
          <w:p w:rsidR="001C756E" w:rsidRPr="00FF17EC" w:rsidRDefault="001C756E" w:rsidP="001C756E">
            <w:pPr>
              <w:keepNext/>
              <w:spacing w:after="0" w:line="240" w:lineRule="auto"/>
              <w:jc w:val="right"/>
              <w:rPr>
                <w:rFonts w:cs="Times New Roman"/>
                <w:color w:val="000000"/>
                <w:lang w:val="en-US" w:eastAsia="it-IT"/>
              </w:rPr>
            </w:pPr>
            <w:r w:rsidRPr="00FF17EC">
              <w:rPr>
                <w:rFonts w:cs="Times New Roman"/>
                <w:color w:val="000000"/>
                <w:lang w:val="en-US" w:eastAsia="it-IT"/>
              </w:rPr>
              <w:t>2,72%</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b/>
                <w:bCs/>
                <w:color w:val="000000"/>
                <w:lang w:val="en-US" w:eastAsia="it-IT"/>
              </w:rPr>
            </w:pPr>
            <w:r w:rsidRPr="00FF17EC">
              <w:rPr>
                <w:rFonts w:cs="Times New Roman"/>
                <w:b/>
                <w:bCs/>
                <w:color w:val="000000"/>
                <w:lang w:val="en-US" w:eastAsia="it-IT"/>
              </w:rPr>
              <w:t>PA 2 - Environment &amp; Emergency Preparedness</w:t>
            </w:r>
          </w:p>
        </w:tc>
        <w:tc>
          <w:tcPr>
            <w:tcW w:w="1417" w:type="dxa"/>
            <w:vAlign w:val="bottom"/>
          </w:tcPr>
          <w:p w:rsidR="001C756E" w:rsidRPr="00FF17EC" w:rsidRDefault="001C756E" w:rsidP="001C756E">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21,76%</w:t>
            </w:r>
          </w:p>
        </w:tc>
        <w:tc>
          <w:tcPr>
            <w:tcW w:w="1276" w:type="dxa"/>
            <w:vAlign w:val="bottom"/>
          </w:tcPr>
          <w:p w:rsidR="001C756E" w:rsidRPr="00FF17EC" w:rsidRDefault="001C756E" w:rsidP="001C756E">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22,99%</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2.1 Improve systems and approaches to address cross-border environmental </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11,37%</w:t>
            </w:r>
          </w:p>
        </w:tc>
        <w:tc>
          <w:tcPr>
            <w:tcW w:w="1276" w:type="dxa"/>
            <w:vAlign w:val="bottom"/>
          </w:tcPr>
          <w:p w:rsidR="001C756E" w:rsidRPr="00FF17EC" w:rsidRDefault="001C756E" w:rsidP="001C756E">
            <w:pPr>
              <w:keepNext/>
              <w:spacing w:after="0" w:line="240" w:lineRule="auto"/>
              <w:jc w:val="right"/>
              <w:rPr>
                <w:rFonts w:cs="Times New Roman"/>
                <w:color w:val="000000"/>
                <w:lang w:val="en-US" w:eastAsia="it-IT"/>
              </w:rPr>
            </w:pPr>
            <w:r w:rsidRPr="00FF17EC">
              <w:rPr>
                <w:rFonts w:cs="Times New Roman"/>
                <w:color w:val="000000"/>
                <w:lang w:val="en-US" w:eastAsia="it-IT"/>
              </w:rPr>
              <w:t>6,72%</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2.2 Develop and implement effective strategies for waste and waste water management </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 </w:t>
            </w:r>
          </w:p>
        </w:tc>
        <w:tc>
          <w:tcPr>
            <w:tcW w:w="1276" w:type="dxa"/>
            <w:vAlign w:val="bottom"/>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2.3 More effective systems and approaches to emergency preparedness </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10,39%</w:t>
            </w:r>
          </w:p>
        </w:tc>
        <w:tc>
          <w:tcPr>
            <w:tcW w:w="1276" w:type="dxa"/>
            <w:vAlign w:val="bottom"/>
          </w:tcPr>
          <w:p w:rsidR="001C756E" w:rsidRPr="00FF17EC" w:rsidRDefault="005A52D9" w:rsidP="001C756E">
            <w:pPr>
              <w:keepNext/>
              <w:spacing w:after="0" w:line="240" w:lineRule="auto"/>
              <w:jc w:val="right"/>
              <w:rPr>
                <w:rFonts w:cs="Times New Roman"/>
                <w:color w:val="000000"/>
                <w:lang w:val="en-US" w:eastAsia="it-IT"/>
              </w:rPr>
            </w:pPr>
            <w:r w:rsidRPr="00FF17EC">
              <w:rPr>
                <w:rFonts w:cs="Times New Roman"/>
                <w:color w:val="000000"/>
                <w:lang w:val="en-US" w:eastAsia="it-IT"/>
              </w:rPr>
              <w:t xml:space="preserve"> </w:t>
            </w:r>
            <w:r w:rsidR="001C756E" w:rsidRPr="00FF17EC">
              <w:rPr>
                <w:rFonts w:cs="Times New Roman"/>
                <w:color w:val="000000"/>
                <w:lang w:val="en-US" w:eastAsia="it-IT"/>
              </w:rPr>
              <w:t xml:space="preserve">16,27% </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b/>
                <w:bCs/>
                <w:color w:val="000000"/>
                <w:lang w:val="en-US" w:eastAsia="it-IT"/>
              </w:rPr>
            </w:pPr>
            <w:r w:rsidRPr="00FF17EC">
              <w:rPr>
                <w:rFonts w:cs="Times New Roman"/>
                <w:b/>
                <w:bCs/>
                <w:color w:val="000000"/>
                <w:lang w:val="en-US" w:eastAsia="it-IT"/>
              </w:rPr>
              <w:t xml:space="preserve">PA 3 - Promoting "people to people" exchanges </w:t>
            </w:r>
          </w:p>
        </w:tc>
        <w:tc>
          <w:tcPr>
            <w:tcW w:w="1417" w:type="dxa"/>
            <w:vAlign w:val="bottom"/>
          </w:tcPr>
          <w:p w:rsidR="001C756E" w:rsidRPr="00FF17EC" w:rsidRDefault="001C756E" w:rsidP="001C756E">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15,92%</w:t>
            </w:r>
          </w:p>
        </w:tc>
        <w:tc>
          <w:tcPr>
            <w:tcW w:w="1276" w:type="dxa"/>
            <w:vAlign w:val="bottom"/>
          </w:tcPr>
          <w:p w:rsidR="001C756E" w:rsidRPr="00FF17EC" w:rsidRDefault="001C756E" w:rsidP="001C756E">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13,30%</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3.1 Support the development of civil society and local communities</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0,30%</w:t>
            </w:r>
          </w:p>
        </w:tc>
        <w:tc>
          <w:tcPr>
            <w:tcW w:w="1276" w:type="dxa"/>
            <w:vAlign w:val="bottom"/>
          </w:tcPr>
          <w:p w:rsidR="001C756E" w:rsidRPr="00FF17EC" w:rsidRDefault="001C756E" w:rsidP="001C756E">
            <w:pPr>
              <w:keepNext/>
              <w:spacing w:after="0" w:line="240" w:lineRule="auto"/>
              <w:jc w:val="right"/>
              <w:rPr>
                <w:rFonts w:cs="Times New Roman"/>
                <w:color w:val="000000"/>
                <w:lang w:val="en-US" w:eastAsia="it-IT"/>
              </w:rPr>
            </w:pPr>
            <w:r w:rsidRPr="00FF17EC">
              <w:rPr>
                <w:rFonts w:cs="Times New Roman"/>
                <w:color w:val="000000"/>
                <w:lang w:val="en-US" w:eastAsia="it-IT"/>
              </w:rPr>
              <w:t>3,66%</w:t>
            </w:r>
          </w:p>
        </w:tc>
      </w:tr>
      <w:tr w:rsidR="001C756E" w:rsidRPr="00FF17EC" w:rsidTr="001C756E">
        <w:trPr>
          <w:trHeight w:val="34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xml:space="preserve"> 3.2 Improve local governance in relation to the provision of local services to communities in the border areas</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3,09%</w:t>
            </w:r>
          </w:p>
        </w:tc>
        <w:tc>
          <w:tcPr>
            <w:tcW w:w="1276" w:type="dxa"/>
            <w:vAlign w:val="bottom"/>
          </w:tcPr>
          <w:p w:rsidR="001C756E" w:rsidRPr="00FF17EC" w:rsidRDefault="001C756E" w:rsidP="001C756E">
            <w:pPr>
              <w:keepNext/>
              <w:spacing w:after="0" w:line="240" w:lineRule="auto"/>
              <w:jc w:val="right"/>
              <w:rPr>
                <w:rFonts w:cs="Times New Roman"/>
                <w:color w:val="000000"/>
                <w:lang w:val="en-US" w:eastAsia="it-IT"/>
              </w:rPr>
            </w:pPr>
            <w:r w:rsidRPr="00FF17EC">
              <w:rPr>
                <w:rFonts w:cs="Times New Roman"/>
                <w:color w:val="000000"/>
                <w:lang w:val="en-US" w:eastAsia="it-IT"/>
              </w:rPr>
              <w:t>1,66%</w:t>
            </w:r>
          </w:p>
        </w:tc>
      </w:tr>
      <w:tr w:rsidR="001C756E" w:rsidRPr="00FF17EC" w:rsidTr="001C756E">
        <w:trPr>
          <w:trHeight w:val="495"/>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3.3 Increase educational, social cultural and sporting exchanges</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10,67%</w:t>
            </w:r>
          </w:p>
        </w:tc>
        <w:tc>
          <w:tcPr>
            <w:tcW w:w="1276" w:type="dxa"/>
            <w:vAlign w:val="bottom"/>
          </w:tcPr>
          <w:p w:rsidR="001C756E" w:rsidRPr="00FF17EC" w:rsidRDefault="001C756E" w:rsidP="001C756E">
            <w:pPr>
              <w:keepNext/>
              <w:spacing w:after="0" w:line="240" w:lineRule="auto"/>
              <w:jc w:val="right"/>
              <w:rPr>
                <w:rFonts w:cs="Times New Roman"/>
                <w:color w:val="000000"/>
                <w:lang w:val="en-US" w:eastAsia="it-IT"/>
              </w:rPr>
            </w:pPr>
            <w:r w:rsidRPr="00FF17EC">
              <w:rPr>
                <w:rFonts w:cs="Times New Roman"/>
                <w:color w:val="000000"/>
                <w:lang w:val="en-US" w:eastAsia="it-IT"/>
              </w:rPr>
              <w:t>7,97%</w:t>
            </w:r>
          </w:p>
        </w:tc>
      </w:tr>
      <w:tr w:rsidR="001C756E" w:rsidRPr="00FF17EC" w:rsidTr="001C756E">
        <w:trPr>
          <w:trHeight w:val="390"/>
        </w:trPr>
        <w:tc>
          <w:tcPr>
            <w:tcW w:w="6111" w:type="dxa"/>
            <w:shd w:val="clear" w:color="auto" w:fill="auto"/>
            <w:hideMark/>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3.4</w:t>
            </w:r>
            <w:r w:rsidR="00634723" w:rsidRPr="00FF17EC">
              <w:rPr>
                <w:rFonts w:cs="Times New Roman"/>
                <w:color w:val="000000"/>
                <w:lang w:val="en-US" w:eastAsia="it-IT"/>
              </w:rPr>
              <w:t xml:space="preserve"> </w:t>
            </w:r>
            <w:r w:rsidRPr="00FF17EC">
              <w:rPr>
                <w:rFonts w:cs="Times New Roman"/>
                <w:color w:val="000000"/>
                <w:lang w:val="en-US" w:eastAsia="it-IT"/>
              </w:rPr>
              <w:t>Enhance social and cultural integration of border area</w:t>
            </w:r>
          </w:p>
        </w:tc>
        <w:tc>
          <w:tcPr>
            <w:tcW w:w="1417" w:type="dxa"/>
            <w:vAlign w:val="bottom"/>
          </w:tcPr>
          <w:p w:rsidR="001C756E" w:rsidRPr="00FF17EC" w:rsidRDefault="001C756E" w:rsidP="001C756E">
            <w:pPr>
              <w:keepNext/>
              <w:spacing w:after="0" w:line="240" w:lineRule="auto"/>
              <w:jc w:val="right"/>
              <w:rPr>
                <w:rFonts w:cs="Times New Roman"/>
                <w:bCs/>
                <w:color w:val="000000"/>
                <w:lang w:val="en-US" w:eastAsia="it-IT"/>
              </w:rPr>
            </w:pPr>
            <w:r w:rsidRPr="00FF17EC">
              <w:rPr>
                <w:rFonts w:cs="Times New Roman"/>
                <w:bCs/>
                <w:color w:val="000000"/>
                <w:lang w:val="en-US" w:eastAsia="it-IT"/>
              </w:rPr>
              <w:t>1,86%</w:t>
            </w:r>
          </w:p>
        </w:tc>
        <w:tc>
          <w:tcPr>
            <w:tcW w:w="1276" w:type="dxa"/>
            <w:vAlign w:val="bottom"/>
          </w:tcPr>
          <w:p w:rsidR="001C756E" w:rsidRPr="00FF17EC" w:rsidRDefault="001C756E" w:rsidP="001C756E">
            <w:pPr>
              <w:keepNext/>
              <w:spacing w:after="0" w:line="240" w:lineRule="auto"/>
              <w:jc w:val="left"/>
              <w:rPr>
                <w:rFonts w:cs="Times New Roman"/>
                <w:color w:val="000000"/>
                <w:lang w:val="en-US" w:eastAsia="it-IT"/>
              </w:rPr>
            </w:pPr>
            <w:r w:rsidRPr="00FF17EC">
              <w:rPr>
                <w:rFonts w:cs="Times New Roman"/>
                <w:color w:val="000000"/>
                <w:lang w:val="en-US" w:eastAsia="it-IT"/>
              </w:rPr>
              <w:t> -</w:t>
            </w:r>
          </w:p>
        </w:tc>
      </w:tr>
      <w:tr w:rsidR="001C756E" w:rsidRPr="00FF17EC" w:rsidTr="001C756E">
        <w:trPr>
          <w:trHeight w:val="345"/>
        </w:trPr>
        <w:tc>
          <w:tcPr>
            <w:tcW w:w="6111" w:type="dxa"/>
            <w:shd w:val="clear" w:color="auto" w:fill="auto"/>
            <w:noWrap/>
            <w:vAlign w:val="bottom"/>
            <w:hideMark/>
          </w:tcPr>
          <w:p w:rsidR="001C756E" w:rsidRPr="00FF17EC" w:rsidRDefault="001C756E" w:rsidP="001C756E">
            <w:pPr>
              <w:keepNext/>
              <w:spacing w:after="0" w:line="240" w:lineRule="auto"/>
              <w:jc w:val="left"/>
              <w:rPr>
                <w:rFonts w:cs="Times New Roman"/>
                <w:b/>
                <w:bCs/>
                <w:color w:val="000000"/>
                <w:lang w:val="en-US" w:eastAsia="it-IT"/>
              </w:rPr>
            </w:pPr>
            <w:r w:rsidRPr="00FF17EC">
              <w:rPr>
                <w:rFonts w:cs="Times New Roman"/>
                <w:b/>
                <w:bCs/>
                <w:color w:val="000000"/>
                <w:lang w:val="en-US" w:eastAsia="it-IT"/>
              </w:rPr>
              <w:t xml:space="preserve"> total </w:t>
            </w:r>
          </w:p>
        </w:tc>
        <w:tc>
          <w:tcPr>
            <w:tcW w:w="1417" w:type="dxa"/>
            <w:vAlign w:val="bottom"/>
          </w:tcPr>
          <w:p w:rsidR="001C756E" w:rsidRPr="00FF17EC" w:rsidRDefault="001C756E" w:rsidP="001C756E">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100,00%</w:t>
            </w:r>
          </w:p>
        </w:tc>
        <w:tc>
          <w:tcPr>
            <w:tcW w:w="1276" w:type="dxa"/>
            <w:vAlign w:val="bottom"/>
          </w:tcPr>
          <w:p w:rsidR="001C756E" w:rsidRPr="00FF17EC" w:rsidRDefault="001C756E" w:rsidP="001C756E">
            <w:pPr>
              <w:keepNext/>
              <w:spacing w:after="0" w:line="240" w:lineRule="auto"/>
              <w:jc w:val="right"/>
              <w:rPr>
                <w:rFonts w:cs="Times New Roman"/>
                <w:b/>
                <w:bCs/>
                <w:color w:val="000000"/>
                <w:lang w:val="en-US" w:eastAsia="it-IT"/>
              </w:rPr>
            </w:pPr>
            <w:r w:rsidRPr="00FF17EC">
              <w:rPr>
                <w:rFonts w:cs="Times New Roman"/>
                <w:b/>
                <w:bCs/>
                <w:color w:val="000000"/>
                <w:lang w:val="en-US" w:eastAsia="it-IT"/>
              </w:rPr>
              <w:t>100,00%</w:t>
            </w:r>
          </w:p>
        </w:tc>
      </w:tr>
    </w:tbl>
    <w:p w:rsidR="001C756E" w:rsidRPr="00FF17EC" w:rsidRDefault="001C756E" w:rsidP="001C756E">
      <w:pPr>
        <w:pStyle w:val="Caption"/>
      </w:pPr>
      <w:r w:rsidRPr="00FF17EC">
        <w:t xml:space="preserve">Table </w:t>
      </w:r>
      <w:r w:rsidR="00085686" w:rsidRPr="00FF17EC">
        <w:fldChar w:fldCharType="begin"/>
      </w:r>
      <w:r w:rsidR="00EE702C" w:rsidRPr="00FF17EC">
        <w:instrText xml:space="preserve"> STYLEREF 1 \s </w:instrText>
      </w:r>
      <w:r w:rsidR="00085686" w:rsidRPr="00FF17EC">
        <w:fldChar w:fldCharType="separate"/>
      </w:r>
      <w:r w:rsidR="009737E5">
        <w:rPr>
          <w:noProof/>
        </w:rPr>
        <w:t>12</w:t>
      </w:r>
      <w:r w:rsidR="00085686" w:rsidRPr="00FF17EC">
        <w:rPr>
          <w:noProof/>
        </w:rPr>
        <w:fldChar w:fldCharType="end"/>
      </w:r>
      <w:r w:rsidR="005C4AE7" w:rsidRPr="00FF17EC">
        <w:noBreakHyphen/>
      </w:r>
      <w:r w:rsidR="00085686" w:rsidRPr="00FF17EC">
        <w:fldChar w:fldCharType="begin"/>
      </w:r>
      <w:r w:rsidR="00EE702C" w:rsidRPr="00FF17EC">
        <w:instrText xml:space="preserve"> SEQ Table \* ARABIC \s 1 </w:instrText>
      </w:r>
      <w:r w:rsidR="00085686" w:rsidRPr="00FF17EC">
        <w:fldChar w:fldCharType="separate"/>
      </w:r>
      <w:r w:rsidR="009737E5">
        <w:rPr>
          <w:noProof/>
        </w:rPr>
        <w:t>2</w:t>
      </w:r>
      <w:r w:rsidR="00085686" w:rsidRPr="00FF17EC">
        <w:rPr>
          <w:noProof/>
        </w:rPr>
        <w:fldChar w:fldCharType="end"/>
      </w:r>
      <w:r w:rsidRPr="00FF17EC">
        <w:t xml:space="preserve"> Allocation of funds in the</w:t>
      </w:r>
      <w:r w:rsidR="00634723" w:rsidRPr="00FF17EC">
        <w:t xml:space="preserve"> </w:t>
      </w:r>
      <w:r w:rsidRPr="00FF17EC">
        <w:t>first and second call</w:t>
      </w:r>
    </w:p>
    <w:p w:rsidR="001C756E" w:rsidRPr="00FF17EC" w:rsidRDefault="001C756E" w:rsidP="001C756E">
      <w:r w:rsidRPr="00FF17EC">
        <w:t>The distribution of projects per priority and per county-districs shows, that Timis and Južno-Banatski are the two areas where</w:t>
      </w:r>
      <w:r w:rsidR="00634723" w:rsidRPr="00FF17EC">
        <w:t xml:space="preserve"> </w:t>
      </w:r>
      <w:r w:rsidRPr="00FF17EC">
        <w:t>projects were started in most or all priorities, in the other counties and districts the projects approved are concentrated in one or two priorities.</w:t>
      </w:r>
    </w:p>
    <w:p w:rsidR="001C756E" w:rsidRPr="00FF17EC" w:rsidRDefault="001C756E" w:rsidP="001C756E"/>
    <w:p w:rsidR="001C756E" w:rsidRPr="00FF17EC" w:rsidRDefault="001C756E" w:rsidP="001C756E"/>
    <w:tbl>
      <w:tblPr>
        <w:tblW w:w="9133" w:type="dxa"/>
        <w:tblInd w:w="57" w:type="dxa"/>
        <w:tblBorders>
          <w:top w:val="single" w:sz="4" w:space="0" w:color="000000"/>
          <w:bottom w:val="single" w:sz="4" w:space="0" w:color="000000"/>
        </w:tblBorders>
        <w:tblCellMar>
          <w:left w:w="70" w:type="dxa"/>
          <w:right w:w="70" w:type="dxa"/>
        </w:tblCellMar>
        <w:tblLook w:val="04A0" w:firstRow="1" w:lastRow="0" w:firstColumn="1" w:lastColumn="0" w:noHBand="0" w:noVBand="1"/>
      </w:tblPr>
      <w:tblGrid>
        <w:gridCol w:w="873"/>
        <w:gridCol w:w="520"/>
        <w:gridCol w:w="860"/>
        <w:gridCol w:w="860"/>
        <w:gridCol w:w="860"/>
        <w:gridCol w:w="860"/>
        <w:gridCol w:w="860"/>
        <w:gridCol w:w="860"/>
        <w:gridCol w:w="860"/>
        <w:gridCol w:w="860"/>
        <w:gridCol w:w="887"/>
      </w:tblGrid>
      <w:tr w:rsidR="001C756E" w:rsidRPr="00FF17EC" w:rsidTr="001C756E">
        <w:trPr>
          <w:trHeight w:val="255"/>
        </w:trPr>
        <w:tc>
          <w:tcPr>
            <w:tcW w:w="8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lastRenderedPageBreak/>
              <w:t>Priority</w:t>
            </w:r>
          </w:p>
        </w:tc>
        <w:tc>
          <w:tcPr>
            <w:tcW w:w="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TM</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CS</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MH</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NO BA</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CE BA</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SO BA</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BOR</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BRAN</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Total</w:t>
            </w:r>
          </w:p>
        </w:tc>
      </w:tr>
      <w:tr w:rsidR="001C756E" w:rsidRPr="00FF17EC" w:rsidTr="001C756E">
        <w:trPr>
          <w:trHeight w:val="255"/>
        </w:trPr>
        <w:tc>
          <w:tcPr>
            <w:tcW w:w="873"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w:t>
            </w:r>
          </w:p>
        </w:tc>
        <w:tc>
          <w:tcPr>
            <w:tcW w:w="52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w:t>
            </w:r>
          </w:p>
        </w:tc>
        <w:tc>
          <w:tcPr>
            <w:tcW w:w="86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18,5%</w:t>
            </w:r>
          </w:p>
        </w:tc>
        <w:tc>
          <w:tcPr>
            <w:tcW w:w="86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49,9%</w:t>
            </w:r>
          </w:p>
        </w:tc>
        <w:tc>
          <w:tcPr>
            <w:tcW w:w="86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31,6%</w:t>
            </w:r>
          </w:p>
        </w:tc>
        <w:tc>
          <w:tcPr>
            <w:tcW w:w="86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tcBorders>
              <w:top w:val="single" w:sz="4" w:space="0" w:color="auto"/>
            </w:tcBorders>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52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45,4%</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9,2%</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30,2%</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15,2%</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52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63,4%</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36,6%</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52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4</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82,3%</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17,7%</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1393" w:type="dxa"/>
            <w:gridSpan w:val="2"/>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total 1</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16,4%</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14,5%</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22,4%</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4,5%</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31,7%</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10,6%</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w:t>
            </w:r>
          </w:p>
        </w:tc>
        <w:tc>
          <w:tcPr>
            <w:tcW w:w="52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20,4%</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23,5%</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56,2%</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52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55,0%</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45,0%</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1393" w:type="dxa"/>
            <w:gridSpan w:val="2"/>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total 2</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26,3%</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21,5%</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10,6%</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12,3%</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29,3%</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w:t>
            </w:r>
          </w:p>
        </w:tc>
        <w:tc>
          <w:tcPr>
            <w:tcW w:w="52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52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34,3%</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65,7%</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52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37,1%</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25,7%</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23,2%</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5,1%</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4,4%</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4,6%</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52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4</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53,6%</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27,7%</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18,7%</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1393" w:type="dxa"/>
            <w:gridSpan w:val="2"/>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total 3</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37,8%</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31,9%</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15,5%</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3,2%</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5,6%</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3,0%</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3,1%</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lang w:val="it-IT" w:eastAsia="it-IT"/>
              </w:rPr>
            </w:pPr>
            <w:r w:rsidRPr="00FF17EC">
              <w:rPr>
                <w:rFonts w:cs="Arial"/>
                <w:lang w:val="it-IT" w:eastAsia="it-IT"/>
              </w:rPr>
              <w:t>100,0%</w:t>
            </w:r>
          </w:p>
        </w:tc>
      </w:tr>
      <w:tr w:rsidR="001C756E" w:rsidRPr="00FF17EC" w:rsidTr="001C756E">
        <w:trPr>
          <w:trHeight w:val="255"/>
        </w:trPr>
        <w:tc>
          <w:tcPr>
            <w:tcW w:w="873"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 xml:space="preserve">total </w:t>
            </w:r>
          </w:p>
        </w:tc>
        <w:tc>
          <w:tcPr>
            <w:tcW w:w="52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 </w:t>
            </w:r>
          </w:p>
        </w:tc>
        <w:tc>
          <w:tcPr>
            <w:tcW w:w="86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21,9%</w:t>
            </w:r>
          </w:p>
        </w:tc>
        <w:tc>
          <w:tcPr>
            <w:tcW w:w="86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14,1%</w:t>
            </w:r>
          </w:p>
        </w:tc>
        <w:tc>
          <w:tcPr>
            <w:tcW w:w="86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21,1%</w:t>
            </w:r>
          </w:p>
        </w:tc>
        <w:tc>
          <w:tcPr>
            <w:tcW w:w="86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5,7%</w:t>
            </w:r>
          </w:p>
        </w:tc>
        <w:tc>
          <w:tcPr>
            <w:tcW w:w="86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3,6%</w:t>
            </w:r>
          </w:p>
        </w:tc>
        <w:tc>
          <w:tcPr>
            <w:tcW w:w="86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26,6%</w:t>
            </w:r>
          </w:p>
        </w:tc>
        <w:tc>
          <w:tcPr>
            <w:tcW w:w="86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0,5%</w:t>
            </w:r>
          </w:p>
        </w:tc>
        <w:tc>
          <w:tcPr>
            <w:tcW w:w="86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6,6%</w:t>
            </w:r>
          </w:p>
        </w:tc>
        <w:tc>
          <w:tcPr>
            <w:tcW w:w="860" w:type="dxa"/>
            <w:shd w:val="clear" w:color="auto" w:fill="auto"/>
            <w:noWrap/>
            <w:vAlign w:val="bottom"/>
            <w:hideMark/>
          </w:tcPr>
          <w:p w:rsidR="001C756E" w:rsidRPr="00FF17EC" w:rsidRDefault="001C756E" w:rsidP="001C756E">
            <w:pPr>
              <w:keepNext/>
              <w:spacing w:after="0" w:line="240" w:lineRule="auto"/>
              <w:rPr>
                <w:rFonts w:cs="Arial"/>
                <w:b/>
                <w:lang w:val="it-IT" w:eastAsia="it-IT"/>
              </w:rPr>
            </w:pPr>
            <w:r w:rsidRPr="00FF17EC">
              <w:rPr>
                <w:rFonts w:cs="Arial"/>
                <w:b/>
                <w:lang w:val="it-IT" w:eastAsia="it-IT"/>
              </w:rPr>
              <w:t>100,0%</w:t>
            </w:r>
          </w:p>
        </w:tc>
      </w:tr>
    </w:tbl>
    <w:p w:rsidR="001C756E" w:rsidRPr="00FF17EC" w:rsidRDefault="001C756E" w:rsidP="001C756E">
      <w:pPr>
        <w:spacing w:after="0" w:line="240" w:lineRule="auto"/>
        <w:rPr>
          <w:sz w:val="24"/>
          <w:lang w:val="en-US" w:eastAsia="it-IT"/>
        </w:rPr>
      </w:pPr>
      <w:r w:rsidRPr="00FF17EC">
        <w:rPr>
          <w:b/>
          <w:sz w:val="24"/>
          <w:lang w:val="en-US" w:eastAsia="it-IT"/>
        </w:rPr>
        <w:t xml:space="preserve">Table </w:t>
      </w:r>
      <w:r w:rsidR="00085686" w:rsidRPr="00FF17EC">
        <w:rPr>
          <w:b/>
          <w:sz w:val="24"/>
          <w:lang w:val="en-US" w:eastAsia="it-IT"/>
        </w:rPr>
        <w:fldChar w:fldCharType="begin"/>
      </w:r>
      <w:r w:rsidR="005C4AE7" w:rsidRPr="00FF17EC">
        <w:rPr>
          <w:b/>
          <w:sz w:val="24"/>
          <w:lang w:val="en-US" w:eastAsia="it-IT"/>
        </w:rPr>
        <w:instrText xml:space="preserve"> STYLEREF 1 \s </w:instrText>
      </w:r>
      <w:r w:rsidR="00085686" w:rsidRPr="00FF17EC">
        <w:rPr>
          <w:b/>
          <w:sz w:val="24"/>
          <w:lang w:val="en-US" w:eastAsia="it-IT"/>
        </w:rPr>
        <w:fldChar w:fldCharType="separate"/>
      </w:r>
      <w:r w:rsidR="009737E5">
        <w:rPr>
          <w:b/>
          <w:noProof/>
          <w:sz w:val="24"/>
          <w:lang w:val="en-US" w:eastAsia="it-IT"/>
        </w:rPr>
        <w:t>12</w:t>
      </w:r>
      <w:r w:rsidR="00085686" w:rsidRPr="00FF17EC">
        <w:rPr>
          <w:b/>
          <w:sz w:val="24"/>
          <w:lang w:val="en-US" w:eastAsia="it-IT"/>
        </w:rPr>
        <w:fldChar w:fldCharType="end"/>
      </w:r>
      <w:r w:rsidR="005C4AE7" w:rsidRPr="00FF17EC">
        <w:rPr>
          <w:b/>
          <w:sz w:val="24"/>
          <w:lang w:val="en-US" w:eastAsia="it-IT"/>
        </w:rPr>
        <w:noBreakHyphen/>
      </w:r>
      <w:r w:rsidR="00085686" w:rsidRPr="00FF17EC">
        <w:rPr>
          <w:b/>
          <w:sz w:val="24"/>
          <w:lang w:val="en-US" w:eastAsia="it-IT"/>
        </w:rPr>
        <w:fldChar w:fldCharType="begin"/>
      </w:r>
      <w:r w:rsidR="005C4AE7" w:rsidRPr="00FF17EC">
        <w:rPr>
          <w:b/>
          <w:sz w:val="24"/>
          <w:lang w:val="en-US" w:eastAsia="it-IT"/>
        </w:rPr>
        <w:instrText xml:space="preserve"> SEQ Table \* ARABIC \s 1 </w:instrText>
      </w:r>
      <w:r w:rsidR="00085686" w:rsidRPr="00FF17EC">
        <w:rPr>
          <w:b/>
          <w:sz w:val="24"/>
          <w:lang w:val="en-US" w:eastAsia="it-IT"/>
        </w:rPr>
        <w:fldChar w:fldCharType="separate"/>
      </w:r>
      <w:r w:rsidR="009737E5">
        <w:rPr>
          <w:b/>
          <w:noProof/>
          <w:sz w:val="24"/>
          <w:lang w:val="en-US" w:eastAsia="it-IT"/>
        </w:rPr>
        <w:t>3</w:t>
      </w:r>
      <w:r w:rsidR="00085686" w:rsidRPr="00FF17EC">
        <w:rPr>
          <w:b/>
          <w:sz w:val="24"/>
          <w:lang w:val="en-US" w:eastAsia="it-IT"/>
        </w:rPr>
        <w:fldChar w:fldCharType="end"/>
      </w:r>
      <w:r w:rsidRPr="00FF17EC">
        <w:rPr>
          <w:b/>
          <w:sz w:val="24"/>
          <w:lang w:val="en-US" w:eastAsia="it-IT"/>
        </w:rPr>
        <w:t xml:space="preserve"> Project budget per priority and per location of the lead partner. First call.</w:t>
      </w:r>
    </w:p>
    <w:p w:rsidR="001C756E" w:rsidRPr="00FF17EC" w:rsidRDefault="001C756E" w:rsidP="001C756E">
      <w:pPr>
        <w:rPr>
          <w:lang w:val="en-US"/>
        </w:rPr>
      </w:pPr>
    </w:p>
    <w:p w:rsidR="005C4AE7" w:rsidRPr="00FF17EC" w:rsidRDefault="005C4AE7" w:rsidP="001C756E">
      <w:pPr>
        <w:rPr>
          <w:lang w:val="en-US"/>
        </w:rPr>
      </w:pPr>
    </w:p>
    <w:tbl>
      <w:tblPr>
        <w:tblW w:w="9603" w:type="dxa"/>
        <w:tblInd w:w="57" w:type="dxa"/>
        <w:tblCellMar>
          <w:left w:w="70" w:type="dxa"/>
          <w:right w:w="70" w:type="dxa"/>
        </w:tblCellMar>
        <w:tblLook w:val="04A0" w:firstRow="1" w:lastRow="0" w:firstColumn="1" w:lastColumn="0" w:noHBand="0" w:noVBand="1"/>
      </w:tblPr>
      <w:tblGrid>
        <w:gridCol w:w="873"/>
        <w:gridCol w:w="1066"/>
        <w:gridCol w:w="925"/>
        <w:gridCol w:w="924"/>
        <w:gridCol w:w="897"/>
        <w:gridCol w:w="999"/>
        <w:gridCol w:w="958"/>
        <w:gridCol w:w="919"/>
        <w:gridCol w:w="1004"/>
        <w:gridCol w:w="1038"/>
      </w:tblGrid>
      <w:tr w:rsidR="001C756E" w:rsidRPr="00FF17EC" w:rsidTr="00EF40E0">
        <w:trPr>
          <w:trHeight w:val="300"/>
        </w:trPr>
        <w:tc>
          <w:tcPr>
            <w:tcW w:w="8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 xml:space="preserve">Priority </w:t>
            </w:r>
          </w:p>
        </w:tc>
        <w:tc>
          <w:tcPr>
            <w:tcW w:w="10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TM</w:t>
            </w:r>
          </w:p>
        </w:tc>
        <w:tc>
          <w:tcPr>
            <w:tcW w:w="9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CS</w:t>
            </w:r>
          </w:p>
        </w:tc>
        <w:tc>
          <w:tcPr>
            <w:tcW w:w="9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MH</w:t>
            </w:r>
          </w:p>
        </w:tc>
        <w:tc>
          <w:tcPr>
            <w:tcW w:w="8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NO BAN</w:t>
            </w:r>
          </w:p>
        </w:tc>
        <w:tc>
          <w:tcPr>
            <w:tcW w:w="9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CE BAN</w:t>
            </w:r>
          </w:p>
        </w:tc>
        <w:tc>
          <w:tcPr>
            <w:tcW w:w="9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SO BAN</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BRA</w:t>
            </w:r>
          </w:p>
        </w:tc>
        <w:tc>
          <w:tcPr>
            <w:tcW w:w="10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Belgrade</w:t>
            </w:r>
          </w:p>
        </w:tc>
        <w:tc>
          <w:tcPr>
            <w:tcW w:w="10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 </w:t>
            </w:r>
          </w:p>
        </w:tc>
      </w:tr>
      <w:tr w:rsidR="001C756E" w:rsidRPr="00FF17EC" w:rsidTr="00EF40E0">
        <w:trPr>
          <w:trHeight w:val="300"/>
        </w:trPr>
        <w:tc>
          <w:tcPr>
            <w:tcW w:w="873"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Total 1</w:t>
            </w:r>
          </w:p>
        </w:tc>
        <w:tc>
          <w:tcPr>
            <w:tcW w:w="1066"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29,06%</w:t>
            </w:r>
          </w:p>
        </w:tc>
        <w:tc>
          <w:tcPr>
            <w:tcW w:w="925"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19,15%</w:t>
            </w:r>
          </w:p>
        </w:tc>
        <w:tc>
          <w:tcPr>
            <w:tcW w:w="924"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16,65%</w:t>
            </w:r>
          </w:p>
        </w:tc>
        <w:tc>
          <w:tcPr>
            <w:tcW w:w="897"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1,19%</w:t>
            </w:r>
          </w:p>
        </w:tc>
        <w:tc>
          <w:tcPr>
            <w:tcW w:w="999"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958"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23,92%</w:t>
            </w:r>
          </w:p>
        </w:tc>
        <w:tc>
          <w:tcPr>
            <w:tcW w:w="919"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10,04%</w:t>
            </w:r>
          </w:p>
        </w:tc>
        <w:tc>
          <w:tcPr>
            <w:tcW w:w="1004"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1038"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100,00%</w:t>
            </w:r>
          </w:p>
        </w:tc>
      </w:tr>
      <w:tr w:rsidR="001C756E" w:rsidRPr="00FF17EC" w:rsidTr="00EF40E0">
        <w:trPr>
          <w:trHeight w:val="300"/>
        </w:trPr>
        <w:tc>
          <w:tcPr>
            <w:tcW w:w="873"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w:t>
            </w:r>
          </w:p>
        </w:tc>
        <w:tc>
          <w:tcPr>
            <w:tcW w:w="1066"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21,73%</w:t>
            </w:r>
          </w:p>
        </w:tc>
        <w:tc>
          <w:tcPr>
            <w:tcW w:w="925"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42,99%</w:t>
            </w:r>
          </w:p>
        </w:tc>
        <w:tc>
          <w:tcPr>
            <w:tcW w:w="92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11,88%</w:t>
            </w:r>
          </w:p>
        </w:tc>
        <w:tc>
          <w:tcPr>
            <w:tcW w:w="91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23,40%</w:t>
            </w:r>
          </w:p>
        </w:tc>
        <w:tc>
          <w:tcPr>
            <w:tcW w:w="100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r>
      <w:tr w:rsidR="001C756E" w:rsidRPr="00FF17EC" w:rsidTr="00EF40E0">
        <w:trPr>
          <w:trHeight w:val="300"/>
        </w:trPr>
        <w:tc>
          <w:tcPr>
            <w:tcW w:w="873"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2</w:t>
            </w:r>
          </w:p>
        </w:tc>
        <w:tc>
          <w:tcPr>
            <w:tcW w:w="1066"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38,72%</w:t>
            </w:r>
          </w:p>
        </w:tc>
        <w:tc>
          <w:tcPr>
            <w:tcW w:w="925"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8,05%</w:t>
            </w:r>
          </w:p>
        </w:tc>
        <w:tc>
          <w:tcPr>
            <w:tcW w:w="92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43,27%</w:t>
            </w:r>
          </w:p>
        </w:tc>
        <w:tc>
          <w:tcPr>
            <w:tcW w:w="897"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6,58%</w:t>
            </w:r>
          </w:p>
        </w:tc>
        <w:tc>
          <w:tcPr>
            <w:tcW w:w="91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3,38%</w:t>
            </w:r>
          </w:p>
        </w:tc>
        <w:tc>
          <w:tcPr>
            <w:tcW w:w="100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r>
      <w:tr w:rsidR="001C756E" w:rsidRPr="00FF17EC" w:rsidTr="00EF40E0">
        <w:trPr>
          <w:trHeight w:val="300"/>
        </w:trPr>
        <w:tc>
          <w:tcPr>
            <w:tcW w:w="873"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3</w:t>
            </w:r>
          </w:p>
        </w:tc>
        <w:tc>
          <w:tcPr>
            <w:tcW w:w="1066"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8,95%</w:t>
            </w:r>
          </w:p>
        </w:tc>
        <w:tc>
          <w:tcPr>
            <w:tcW w:w="925"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5,98%</w:t>
            </w:r>
          </w:p>
        </w:tc>
        <w:tc>
          <w:tcPr>
            <w:tcW w:w="99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85,07%</w:t>
            </w:r>
          </w:p>
        </w:tc>
        <w:tc>
          <w:tcPr>
            <w:tcW w:w="91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0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r>
      <w:tr w:rsidR="001C756E" w:rsidRPr="00FF17EC" w:rsidTr="00EF40E0">
        <w:trPr>
          <w:trHeight w:val="300"/>
        </w:trPr>
        <w:tc>
          <w:tcPr>
            <w:tcW w:w="873"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4</w:t>
            </w:r>
          </w:p>
        </w:tc>
        <w:tc>
          <w:tcPr>
            <w:tcW w:w="1066"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c>
          <w:tcPr>
            <w:tcW w:w="925"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1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0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r>
      <w:tr w:rsidR="001C756E" w:rsidRPr="00FF17EC" w:rsidTr="00EF40E0">
        <w:trPr>
          <w:trHeight w:val="300"/>
        </w:trPr>
        <w:tc>
          <w:tcPr>
            <w:tcW w:w="873"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Total 2</w:t>
            </w:r>
          </w:p>
        </w:tc>
        <w:tc>
          <w:tcPr>
            <w:tcW w:w="1066"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925"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18,74%</w:t>
            </w:r>
          </w:p>
        </w:tc>
        <w:tc>
          <w:tcPr>
            <w:tcW w:w="924"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36,14%</w:t>
            </w:r>
          </w:p>
        </w:tc>
        <w:tc>
          <w:tcPr>
            <w:tcW w:w="897"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999"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958"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919"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1004"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45,13%</w:t>
            </w:r>
          </w:p>
        </w:tc>
        <w:tc>
          <w:tcPr>
            <w:tcW w:w="1038"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100,00%</w:t>
            </w:r>
          </w:p>
        </w:tc>
      </w:tr>
      <w:tr w:rsidR="001C756E" w:rsidRPr="00FF17EC" w:rsidTr="00EF40E0">
        <w:trPr>
          <w:trHeight w:val="300"/>
        </w:trPr>
        <w:tc>
          <w:tcPr>
            <w:tcW w:w="873"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w:t>
            </w:r>
          </w:p>
        </w:tc>
        <w:tc>
          <w:tcPr>
            <w:tcW w:w="1066"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25"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64,11%</w:t>
            </w:r>
          </w:p>
        </w:tc>
        <w:tc>
          <w:tcPr>
            <w:tcW w:w="92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35,89%</w:t>
            </w:r>
          </w:p>
        </w:tc>
        <w:tc>
          <w:tcPr>
            <w:tcW w:w="897"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1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0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r>
      <w:tr w:rsidR="001C756E" w:rsidRPr="00FF17EC" w:rsidTr="00EF40E0">
        <w:trPr>
          <w:trHeight w:val="300"/>
        </w:trPr>
        <w:tc>
          <w:tcPr>
            <w:tcW w:w="873"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3</w:t>
            </w:r>
          </w:p>
        </w:tc>
        <w:tc>
          <w:tcPr>
            <w:tcW w:w="1066"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25"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36,24%</w:t>
            </w:r>
          </w:p>
        </w:tc>
        <w:tc>
          <w:tcPr>
            <w:tcW w:w="897"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1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0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63,76%</w:t>
            </w:r>
          </w:p>
        </w:tc>
        <w:tc>
          <w:tcPr>
            <w:tcW w:w="103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r>
      <w:tr w:rsidR="001C756E" w:rsidRPr="00FF17EC" w:rsidTr="00EF40E0">
        <w:trPr>
          <w:trHeight w:val="300"/>
        </w:trPr>
        <w:tc>
          <w:tcPr>
            <w:tcW w:w="873"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Total 3</w:t>
            </w:r>
          </w:p>
        </w:tc>
        <w:tc>
          <w:tcPr>
            <w:tcW w:w="1066"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44,47%</w:t>
            </w:r>
          </w:p>
        </w:tc>
        <w:tc>
          <w:tcPr>
            <w:tcW w:w="925"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16,28%</w:t>
            </w:r>
          </w:p>
        </w:tc>
        <w:tc>
          <w:tcPr>
            <w:tcW w:w="924"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5,66%</w:t>
            </w:r>
          </w:p>
        </w:tc>
        <w:tc>
          <w:tcPr>
            <w:tcW w:w="897"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999"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16,16%</w:t>
            </w:r>
          </w:p>
        </w:tc>
        <w:tc>
          <w:tcPr>
            <w:tcW w:w="958"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17,43%</w:t>
            </w:r>
          </w:p>
        </w:tc>
        <w:tc>
          <w:tcPr>
            <w:tcW w:w="919"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1004"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 </w:t>
            </w:r>
          </w:p>
        </w:tc>
        <w:tc>
          <w:tcPr>
            <w:tcW w:w="1038" w:type="dxa"/>
            <w:tcBorders>
              <w:top w:val="nil"/>
              <w:left w:val="nil"/>
              <w:bottom w:val="single" w:sz="4" w:space="0" w:color="95B3D7"/>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100,00%</w:t>
            </w:r>
          </w:p>
        </w:tc>
      </w:tr>
      <w:tr w:rsidR="001C756E" w:rsidRPr="00FF17EC" w:rsidTr="00EF40E0">
        <w:trPr>
          <w:trHeight w:val="300"/>
        </w:trPr>
        <w:tc>
          <w:tcPr>
            <w:tcW w:w="873"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w:t>
            </w:r>
          </w:p>
        </w:tc>
        <w:tc>
          <w:tcPr>
            <w:tcW w:w="1066"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17,98%</w:t>
            </w:r>
          </w:p>
        </w:tc>
        <w:tc>
          <w:tcPr>
            <w:tcW w:w="925"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48,10%</w:t>
            </w:r>
          </w:p>
        </w:tc>
        <w:tc>
          <w:tcPr>
            <w:tcW w:w="95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33,92%</w:t>
            </w:r>
          </w:p>
        </w:tc>
        <w:tc>
          <w:tcPr>
            <w:tcW w:w="91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0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r>
      <w:tr w:rsidR="001C756E" w:rsidRPr="00FF17EC" w:rsidTr="00EF40E0">
        <w:trPr>
          <w:trHeight w:val="300"/>
        </w:trPr>
        <w:tc>
          <w:tcPr>
            <w:tcW w:w="873"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2</w:t>
            </w:r>
          </w:p>
        </w:tc>
        <w:tc>
          <w:tcPr>
            <w:tcW w:w="1066"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c>
          <w:tcPr>
            <w:tcW w:w="925"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2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897"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5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1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0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r>
      <w:tr w:rsidR="001C756E" w:rsidRPr="00FF17EC" w:rsidTr="00EF40E0">
        <w:trPr>
          <w:trHeight w:val="300"/>
        </w:trPr>
        <w:tc>
          <w:tcPr>
            <w:tcW w:w="873"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3</w:t>
            </w:r>
          </w:p>
        </w:tc>
        <w:tc>
          <w:tcPr>
            <w:tcW w:w="1066"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45,05%</w:t>
            </w:r>
          </w:p>
        </w:tc>
        <w:tc>
          <w:tcPr>
            <w:tcW w:w="925"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27,15%</w:t>
            </w:r>
          </w:p>
        </w:tc>
        <w:tc>
          <w:tcPr>
            <w:tcW w:w="92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9,44%</w:t>
            </w:r>
          </w:p>
        </w:tc>
        <w:tc>
          <w:tcPr>
            <w:tcW w:w="897"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99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4,87%</w:t>
            </w:r>
          </w:p>
        </w:tc>
        <w:tc>
          <w:tcPr>
            <w:tcW w:w="95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13,49%</w:t>
            </w:r>
          </w:p>
        </w:tc>
        <w:tc>
          <w:tcPr>
            <w:tcW w:w="919"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04"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p>
        </w:tc>
        <w:tc>
          <w:tcPr>
            <w:tcW w:w="1038" w:type="dxa"/>
            <w:tcBorders>
              <w:top w:val="nil"/>
              <w:left w:val="nil"/>
              <w:bottom w:val="nil"/>
              <w:right w:val="nil"/>
            </w:tcBorders>
            <w:shd w:val="clear" w:color="auto" w:fill="auto"/>
            <w:noWrap/>
            <w:vAlign w:val="bottom"/>
            <w:hideMark/>
          </w:tcPr>
          <w:p w:rsidR="001C756E" w:rsidRPr="00FF17EC" w:rsidRDefault="001C756E" w:rsidP="001C756E">
            <w:pPr>
              <w:spacing w:after="0" w:line="240" w:lineRule="auto"/>
              <w:rPr>
                <w:lang w:val="it-IT" w:eastAsia="it-IT"/>
              </w:rPr>
            </w:pPr>
            <w:r w:rsidRPr="00FF17EC">
              <w:rPr>
                <w:lang w:val="it-IT" w:eastAsia="it-IT"/>
              </w:rPr>
              <w:t>100,00%</w:t>
            </w:r>
          </w:p>
        </w:tc>
      </w:tr>
      <w:tr w:rsidR="001C756E" w:rsidRPr="00FF17EC" w:rsidTr="00EF40E0">
        <w:trPr>
          <w:trHeight w:val="300"/>
        </w:trPr>
        <w:tc>
          <w:tcPr>
            <w:tcW w:w="873"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total</w:t>
            </w:r>
          </w:p>
        </w:tc>
        <w:tc>
          <w:tcPr>
            <w:tcW w:w="1066"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24,43%</w:t>
            </w:r>
          </w:p>
        </w:tc>
        <w:tc>
          <w:tcPr>
            <w:tcW w:w="925"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18,67%</w:t>
            </w:r>
          </w:p>
        </w:tc>
        <w:tc>
          <w:tcPr>
            <w:tcW w:w="924"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19,67%</w:t>
            </w:r>
          </w:p>
        </w:tc>
        <w:tc>
          <w:tcPr>
            <w:tcW w:w="897"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0,76%</w:t>
            </w:r>
          </w:p>
        </w:tc>
        <w:tc>
          <w:tcPr>
            <w:tcW w:w="999"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2,15%</w:t>
            </w:r>
          </w:p>
        </w:tc>
        <w:tc>
          <w:tcPr>
            <w:tcW w:w="958"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17,56%</w:t>
            </w:r>
          </w:p>
        </w:tc>
        <w:tc>
          <w:tcPr>
            <w:tcW w:w="919"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6,39%</w:t>
            </w:r>
          </w:p>
        </w:tc>
        <w:tc>
          <w:tcPr>
            <w:tcW w:w="1004"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10,37%</w:t>
            </w:r>
          </w:p>
        </w:tc>
        <w:tc>
          <w:tcPr>
            <w:tcW w:w="1038" w:type="dxa"/>
            <w:tcBorders>
              <w:top w:val="single" w:sz="4" w:space="0" w:color="auto"/>
              <w:left w:val="nil"/>
              <w:bottom w:val="single" w:sz="4" w:space="0" w:color="auto"/>
              <w:right w:val="nil"/>
            </w:tcBorders>
            <w:shd w:val="clear" w:color="auto" w:fill="auto"/>
            <w:noWrap/>
            <w:vAlign w:val="bottom"/>
            <w:hideMark/>
          </w:tcPr>
          <w:p w:rsidR="001C756E" w:rsidRPr="00FF17EC" w:rsidRDefault="001C756E" w:rsidP="001C756E">
            <w:pPr>
              <w:spacing w:after="0" w:line="240" w:lineRule="auto"/>
              <w:rPr>
                <w:b/>
                <w:lang w:val="it-IT" w:eastAsia="it-IT"/>
              </w:rPr>
            </w:pPr>
            <w:r w:rsidRPr="00FF17EC">
              <w:rPr>
                <w:b/>
                <w:lang w:val="it-IT" w:eastAsia="it-IT"/>
              </w:rPr>
              <w:t>100,00%</w:t>
            </w:r>
          </w:p>
        </w:tc>
      </w:tr>
    </w:tbl>
    <w:p w:rsidR="001C756E" w:rsidRPr="00FF17EC" w:rsidRDefault="001C756E" w:rsidP="001C756E">
      <w:pPr>
        <w:spacing w:after="0" w:line="240" w:lineRule="auto"/>
        <w:rPr>
          <w:b/>
          <w:sz w:val="24"/>
          <w:lang w:val="en-US" w:eastAsia="it-IT"/>
        </w:rPr>
      </w:pPr>
      <w:r w:rsidRPr="00FF17EC">
        <w:rPr>
          <w:b/>
          <w:sz w:val="24"/>
          <w:lang w:val="en-US" w:eastAsia="it-IT"/>
        </w:rPr>
        <w:t xml:space="preserve">Table </w:t>
      </w:r>
      <w:r w:rsidR="00085686" w:rsidRPr="00FF17EC">
        <w:rPr>
          <w:b/>
          <w:sz w:val="24"/>
          <w:lang w:val="en-US" w:eastAsia="it-IT"/>
        </w:rPr>
        <w:fldChar w:fldCharType="begin"/>
      </w:r>
      <w:r w:rsidR="005C4AE7" w:rsidRPr="00FF17EC">
        <w:rPr>
          <w:b/>
          <w:sz w:val="24"/>
          <w:lang w:val="en-US" w:eastAsia="it-IT"/>
        </w:rPr>
        <w:instrText xml:space="preserve"> STYLEREF 1 \s </w:instrText>
      </w:r>
      <w:r w:rsidR="00085686" w:rsidRPr="00FF17EC">
        <w:rPr>
          <w:b/>
          <w:sz w:val="24"/>
          <w:lang w:val="en-US" w:eastAsia="it-IT"/>
        </w:rPr>
        <w:fldChar w:fldCharType="separate"/>
      </w:r>
      <w:r w:rsidR="009737E5">
        <w:rPr>
          <w:b/>
          <w:noProof/>
          <w:sz w:val="24"/>
          <w:lang w:val="en-US" w:eastAsia="it-IT"/>
        </w:rPr>
        <w:t>12</w:t>
      </w:r>
      <w:r w:rsidR="00085686" w:rsidRPr="00FF17EC">
        <w:rPr>
          <w:b/>
          <w:sz w:val="24"/>
          <w:lang w:val="en-US" w:eastAsia="it-IT"/>
        </w:rPr>
        <w:fldChar w:fldCharType="end"/>
      </w:r>
      <w:r w:rsidR="005C4AE7" w:rsidRPr="00FF17EC">
        <w:rPr>
          <w:b/>
          <w:sz w:val="24"/>
          <w:lang w:val="en-US" w:eastAsia="it-IT"/>
        </w:rPr>
        <w:noBreakHyphen/>
      </w:r>
      <w:r w:rsidR="00085686" w:rsidRPr="00FF17EC">
        <w:rPr>
          <w:b/>
          <w:sz w:val="24"/>
          <w:lang w:val="en-US" w:eastAsia="it-IT"/>
        </w:rPr>
        <w:fldChar w:fldCharType="begin"/>
      </w:r>
      <w:r w:rsidR="005C4AE7" w:rsidRPr="00FF17EC">
        <w:rPr>
          <w:b/>
          <w:sz w:val="24"/>
          <w:lang w:val="en-US" w:eastAsia="it-IT"/>
        </w:rPr>
        <w:instrText xml:space="preserve"> SEQ Table \* ARABIC \s 1 </w:instrText>
      </w:r>
      <w:r w:rsidR="00085686" w:rsidRPr="00FF17EC">
        <w:rPr>
          <w:b/>
          <w:sz w:val="24"/>
          <w:lang w:val="en-US" w:eastAsia="it-IT"/>
        </w:rPr>
        <w:fldChar w:fldCharType="separate"/>
      </w:r>
      <w:r w:rsidR="009737E5">
        <w:rPr>
          <w:b/>
          <w:noProof/>
          <w:sz w:val="24"/>
          <w:lang w:val="en-US" w:eastAsia="it-IT"/>
        </w:rPr>
        <w:t>4</w:t>
      </w:r>
      <w:r w:rsidR="00085686" w:rsidRPr="00FF17EC">
        <w:rPr>
          <w:b/>
          <w:sz w:val="24"/>
          <w:lang w:val="en-US" w:eastAsia="it-IT"/>
        </w:rPr>
        <w:fldChar w:fldCharType="end"/>
      </w:r>
      <w:r w:rsidRPr="00FF17EC">
        <w:rPr>
          <w:b/>
          <w:sz w:val="24"/>
          <w:lang w:val="en-US" w:eastAsia="it-IT"/>
        </w:rPr>
        <w:t xml:space="preserve"> Second call.Project budget per priority and per location of the lead partner. </w:t>
      </w:r>
    </w:p>
    <w:p w:rsidR="001C756E" w:rsidRPr="00FF17EC" w:rsidRDefault="001C756E" w:rsidP="001C756E">
      <w:pPr>
        <w:spacing w:after="0" w:line="240" w:lineRule="auto"/>
        <w:rPr>
          <w:b/>
          <w:lang w:val="en-US" w:eastAsia="it-IT"/>
        </w:rPr>
      </w:pPr>
    </w:p>
    <w:p w:rsidR="004A7621" w:rsidRPr="00FF17EC" w:rsidRDefault="004A7621" w:rsidP="001C756E">
      <w:pPr>
        <w:pStyle w:val="Caption"/>
        <w:rPr>
          <w:i/>
          <w:sz w:val="20"/>
          <w:szCs w:val="20"/>
          <w:lang w:val="en-US"/>
        </w:rPr>
      </w:pPr>
    </w:p>
    <w:p w:rsidR="004A7621" w:rsidRPr="00FF17EC" w:rsidRDefault="004A7621" w:rsidP="00A62261">
      <w:pPr>
        <w:pStyle w:val="Heading1"/>
      </w:pPr>
      <w:bookmarkStart w:id="120" w:name="_Toc378857153"/>
      <w:bookmarkStart w:id="121" w:name="_Toc383162922"/>
      <w:bookmarkStart w:id="122" w:name="_Toc383415728"/>
      <w:r w:rsidRPr="00FF17EC">
        <w:lastRenderedPageBreak/>
        <w:t>ETC</w:t>
      </w:r>
      <w:r w:rsidR="004B0E46" w:rsidRPr="00FF17EC">
        <w:t xml:space="preserve"> </w:t>
      </w:r>
      <w:r w:rsidRPr="00FF17EC">
        <w:t>programmes in the area</w:t>
      </w:r>
      <w:bookmarkEnd w:id="120"/>
      <w:bookmarkEnd w:id="121"/>
      <w:bookmarkEnd w:id="122"/>
    </w:p>
    <w:p w:rsidR="004A7621" w:rsidRPr="00FF17EC" w:rsidRDefault="004A7621" w:rsidP="004A7621">
      <w:r w:rsidRPr="00FF17EC">
        <w:t>The Programme Area partially overlaps (e.g. CBC HU-RS) or is contained (e.g. South East Europe or the future Danube Programme) to a number of other Territorial Cooperation Programmes.</w:t>
      </w:r>
      <w:r w:rsidR="004B0E46" w:rsidRPr="00FF17EC">
        <w:t xml:space="preserve"> </w:t>
      </w:r>
      <w:r w:rsidRPr="00FF17EC">
        <w:t>Many of these Programmes follow similar objectives and have relevant thematic orientations. The evaluation of the current programme signalled the need to improve coordination and to exploit synergies. In all cases, they contribute to the development of capacity and know-how among the administration and stakeholders of the region about the modus operandi of Territorial Cooperation. The table below gives an overview of the current programmes 2007-2013, the perspective asset for the next 2014-2020 programming period, and the common eligible territories.</w:t>
      </w:r>
    </w:p>
    <w:p w:rsidR="00744986" w:rsidRPr="00FF17EC" w:rsidRDefault="00744986" w:rsidP="004A7621"/>
    <w:p w:rsidR="00560FE8" w:rsidRPr="00FF17EC" w:rsidRDefault="00560FE8" w:rsidP="00560FE8">
      <w:pPr>
        <w:spacing w:after="0" w:line="240" w:lineRule="auto"/>
        <w:jc w:val="left"/>
        <w:sectPr w:rsidR="00560FE8" w:rsidRPr="00FF17EC" w:rsidSect="00015F7F">
          <w:pgSz w:w="12240" w:h="15840"/>
          <w:pgMar w:top="1843" w:right="1418" w:bottom="1701" w:left="1418" w:header="709" w:footer="376" w:gutter="0"/>
          <w:cols w:space="708"/>
          <w:noEndnote/>
          <w:docGrid w:linePitch="299"/>
        </w:sectPr>
      </w:pPr>
    </w:p>
    <w:p w:rsidR="004A7621" w:rsidRPr="00FF17EC" w:rsidRDefault="004A7621" w:rsidP="00560FE8">
      <w:pPr>
        <w:spacing w:after="0" w:line="240" w:lineRule="auto"/>
        <w:jc w:val="left"/>
      </w:pPr>
    </w:p>
    <w:tbl>
      <w:tblPr>
        <w:tblStyle w:val="TableGrid"/>
        <w:tblW w:w="13433" w:type="dxa"/>
        <w:tblLayout w:type="fixed"/>
        <w:tblLook w:val="04A0" w:firstRow="1" w:lastRow="0" w:firstColumn="1" w:lastColumn="0" w:noHBand="0" w:noVBand="1"/>
      </w:tblPr>
      <w:tblGrid>
        <w:gridCol w:w="987"/>
        <w:gridCol w:w="1453"/>
        <w:gridCol w:w="4563"/>
        <w:gridCol w:w="1245"/>
        <w:gridCol w:w="1244"/>
        <w:gridCol w:w="3941"/>
      </w:tblGrid>
      <w:tr w:rsidR="00560FE8" w:rsidRPr="00FF17EC" w:rsidTr="009341C2">
        <w:tc>
          <w:tcPr>
            <w:tcW w:w="675" w:type="dxa"/>
          </w:tcPr>
          <w:p w:rsidR="00560FE8" w:rsidRPr="00FF17EC" w:rsidRDefault="00560FE8" w:rsidP="00EF40E0">
            <w:pPr>
              <w:spacing w:after="0" w:line="240" w:lineRule="auto"/>
              <w:jc w:val="left"/>
              <w:rPr>
                <w:b/>
                <w:szCs w:val="20"/>
              </w:rPr>
            </w:pPr>
            <w:r w:rsidRPr="00FF17EC">
              <w:rPr>
                <w:b/>
                <w:szCs w:val="20"/>
              </w:rPr>
              <w:t>Programme</w:t>
            </w:r>
          </w:p>
        </w:tc>
        <w:tc>
          <w:tcPr>
            <w:tcW w:w="993" w:type="dxa"/>
          </w:tcPr>
          <w:p w:rsidR="00560FE8" w:rsidRPr="00FF17EC" w:rsidRDefault="00560FE8" w:rsidP="00EF40E0">
            <w:pPr>
              <w:spacing w:after="0" w:line="240" w:lineRule="auto"/>
              <w:jc w:val="left"/>
              <w:rPr>
                <w:b/>
                <w:szCs w:val="20"/>
              </w:rPr>
            </w:pPr>
            <w:r w:rsidRPr="00FF17EC">
              <w:rPr>
                <w:b/>
                <w:szCs w:val="20"/>
              </w:rPr>
              <w:t>Area</w:t>
            </w:r>
          </w:p>
        </w:tc>
        <w:tc>
          <w:tcPr>
            <w:tcW w:w="3118" w:type="dxa"/>
          </w:tcPr>
          <w:p w:rsidR="00560FE8" w:rsidRPr="00FF17EC" w:rsidRDefault="00560FE8" w:rsidP="00EF40E0">
            <w:pPr>
              <w:spacing w:after="0" w:line="240" w:lineRule="auto"/>
              <w:jc w:val="left"/>
              <w:rPr>
                <w:b/>
                <w:szCs w:val="20"/>
              </w:rPr>
            </w:pPr>
            <w:r w:rsidRPr="00FF17EC">
              <w:rPr>
                <w:b/>
                <w:szCs w:val="20"/>
              </w:rPr>
              <w:t>Strategic Objective</w:t>
            </w:r>
          </w:p>
        </w:tc>
        <w:tc>
          <w:tcPr>
            <w:tcW w:w="851" w:type="dxa"/>
          </w:tcPr>
          <w:p w:rsidR="00560FE8" w:rsidRPr="00FF17EC" w:rsidRDefault="00560FE8" w:rsidP="00EF40E0">
            <w:pPr>
              <w:spacing w:after="0" w:line="240" w:lineRule="auto"/>
              <w:jc w:val="left"/>
              <w:rPr>
                <w:b/>
                <w:szCs w:val="20"/>
              </w:rPr>
            </w:pPr>
            <w:r w:rsidRPr="00FF17EC">
              <w:rPr>
                <w:b/>
                <w:szCs w:val="20"/>
              </w:rPr>
              <w:t>Total Budget (MEUR)</w:t>
            </w:r>
          </w:p>
        </w:tc>
        <w:tc>
          <w:tcPr>
            <w:tcW w:w="850" w:type="dxa"/>
          </w:tcPr>
          <w:p w:rsidR="00560FE8" w:rsidRPr="00FF17EC" w:rsidRDefault="00560FE8" w:rsidP="00EF40E0">
            <w:pPr>
              <w:spacing w:after="0" w:line="240" w:lineRule="auto"/>
              <w:jc w:val="left"/>
              <w:rPr>
                <w:b/>
                <w:szCs w:val="20"/>
              </w:rPr>
            </w:pPr>
            <w:r w:rsidRPr="00FF17EC">
              <w:rPr>
                <w:b/>
                <w:szCs w:val="20"/>
              </w:rPr>
              <w:t>Competition for funds</w:t>
            </w:r>
            <w:r w:rsidRPr="00FF17EC">
              <w:rPr>
                <w:rStyle w:val="FootnoteReference"/>
                <w:b/>
                <w:szCs w:val="20"/>
              </w:rPr>
              <w:footnoteReference w:id="59"/>
            </w:r>
          </w:p>
        </w:tc>
        <w:tc>
          <w:tcPr>
            <w:tcW w:w="2693" w:type="dxa"/>
          </w:tcPr>
          <w:p w:rsidR="00560FE8" w:rsidRPr="00FF17EC" w:rsidRDefault="00560FE8" w:rsidP="00EF40E0">
            <w:pPr>
              <w:spacing w:after="0" w:line="240" w:lineRule="auto"/>
              <w:jc w:val="left"/>
              <w:rPr>
                <w:b/>
                <w:szCs w:val="20"/>
              </w:rPr>
            </w:pPr>
            <w:r w:rsidRPr="00FF17EC">
              <w:rPr>
                <w:b/>
                <w:szCs w:val="20"/>
              </w:rPr>
              <w:t>Priority Axes</w:t>
            </w:r>
            <w:r w:rsidRPr="00FF17EC">
              <w:rPr>
                <w:rStyle w:val="FootnoteReference"/>
                <w:b/>
                <w:szCs w:val="20"/>
              </w:rPr>
              <w:footnoteReference w:id="60"/>
            </w:r>
          </w:p>
        </w:tc>
      </w:tr>
      <w:tr w:rsidR="00560FE8" w:rsidRPr="00FF17EC" w:rsidTr="009341C2">
        <w:tc>
          <w:tcPr>
            <w:tcW w:w="675" w:type="dxa"/>
          </w:tcPr>
          <w:p w:rsidR="00560FE8" w:rsidRPr="00FF17EC" w:rsidRDefault="00560FE8" w:rsidP="00EF40E0">
            <w:pPr>
              <w:spacing w:after="0" w:line="240" w:lineRule="auto"/>
              <w:jc w:val="left"/>
              <w:rPr>
                <w:szCs w:val="20"/>
              </w:rPr>
            </w:pPr>
            <w:r w:rsidRPr="00FF17EC">
              <w:rPr>
                <w:szCs w:val="20"/>
              </w:rPr>
              <w:t>INTERREG- IV</w:t>
            </w:r>
          </w:p>
        </w:tc>
        <w:tc>
          <w:tcPr>
            <w:tcW w:w="993" w:type="dxa"/>
          </w:tcPr>
          <w:p w:rsidR="00560FE8" w:rsidRPr="00FF17EC" w:rsidRDefault="00560FE8" w:rsidP="00EF40E0">
            <w:pPr>
              <w:spacing w:after="0" w:line="240" w:lineRule="auto"/>
              <w:jc w:val="left"/>
              <w:rPr>
                <w:szCs w:val="20"/>
              </w:rPr>
            </w:pPr>
            <w:r w:rsidRPr="00FF17EC">
              <w:rPr>
                <w:szCs w:val="20"/>
              </w:rPr>
              <w:t>EU</w:t>
            </w:r>
          </w:p>
        </w:tc>
        <w:tc>
          <w:tcPr>
            <w:tcW w:w="3118" w:type="dxa"/>
          </w:tcPr>
          <w:p w:rsidR="00560FE8" w:rsidRPr="00FF17EC" w:rsidRDefault="00560FE8" w:rsidP="00EF40E0">
            <w:pPr>
              <w:spacing w:after="0" w:line="240" w:lineRule="auto"/>
              <w:jc w:val="left"/>
              <w:rPr>
                <w:szCs w:val="20"/>
              </w:rPr>
            </w:pPr>
            <w:r w:rsidRPr="00FF17EC">
              <w:rPr>
                <w:szCs w:val="20"/>
              </w:rPr>
              <w:t>Improve, by means of interregional cooperation, the effectiveness of regional development policies in the areas of innovation, the knowledge economy, the environment and risk prevention as well as to contribute to economic modernisation and increased competitiveness of Europe.</w:t>
            </w:r>
          </w:p>
        </w:tc>
        <w:tc>
          <w:tcPr>
            <w:tcW w:w="851" w:type="dxa"/>
          </w:tcPr>
          <w:p w:rsidR="00560FE8" w:rsidRPr="00FF17EC" w:rsidRDefault="00560FE8" w:rsidP="00EF40E0">
            <w:pPr>
              <w:spacing w:after="0" w:line="240" w:lineRule="auto"/>
              <w:jc w:val="left"/>
              <w:rPr>
                <w:szCs w:val="20"/>
              </w:rPr>
            </w:pPr>
            <w:r w:rsidRPr="00FF17EC">
              <w:rPr>
                <w:szCs w:val="20"/>
              </w:rPr>
              <w:t xml:space="preserve">420 </w:t>
            </w:r>
          </w:p>
        </w:tc>
        <w:tc>
          <w:tcPr>
            <w:tcW w:w="850" w:type="dxa"/>
          </w:tcPr>
          <w:p w:rsidR="00560FE8" w:rsidRPr="00FF17EC" w:rsidRDefault="00560FE8" w:rsidP="00EF40E0">
            <w:pPr>
              <w:spacing w:after="0" w:line="240" w:lineRule="auto"/>
              <w:jc w:val="left"/>
              <w:rPr>
                <w:szCs w:val="20"/>
              </w:rPr>
            </w:pPr>
            <w:r w:rsidRPr="00FF17EC">
              <w:rPr>
                <w:szCs w:val="20"/>
              </w:rPr>
              <w:t>Very high</w:t>
            </w:r>
          </w:p>
        </w:tc>
        <w:tc>
          <w:tcPr>
            <w:tcW w:w="2693" w:type="dxa"/>
          </w:tcPr>
          <w:p w:rsidR="00560FE8" w:rsidRPr="00FF17EC" w:rsidRDefault="00560FE8" w:rsidP="00EF40E0">
            <w:pPr>
              <w:spacing w:after="0" w:line="240" w:lineRule="auto"/>
              <w:jc w:val="left"/>
              <w:rPr>
                <w:szCs w:val="20"/>
              </w:rPr>
            </w:pPr>
            <w:r w:rsidRPr="00FF17EC">
              <w:rPr>
                <w:szCs w:val="20"/>
              </w:rPr>
              <w:t>PA1: Innovation and knowledge economy</w:t>
            </w:r>
          </w:p>
          <w:p w:rsidR="00560FE8" w:rsidRPr="00FF17EC" w:rsidRDefault="00560FE8" w:rsidP="00EF40E0">
            <w:pPr>
              <w:spacing w:after="0" w:line="240" w:lineRule="auto"/>
              <w:jc w:val="left"/>
              <w:rPr>
                <w:szCs w:val="20"/>
              </w:rPr>
            </w:pPr>
            <w:r w:rsidRPr="00FF17EC">
              <w:rPr>
                <w:szCs w:val="20"/>
              </w:rPr>
              <w:t>PA2: Environment and risk prevention</w:t>
            </w:r>
          </w:p>
        </w:tc>
      </w:tr>
      <w:tr w:rsidR="00560FE8" w:rsidRPr="00FF17EC" w:rsidTr="009341C2">
        <w:tc>
          <w:tcPr>
            <w:tcW w:w="675" w:type="dxa"/>
          </w:tcPr>
          <w:p w:rsidR="00560FE8" w:rsidRPr="00FF17EC" w:rsidRDefault="00560FE8" w:rsidP="00EF40E0">
            <w:pPr>
              <w:spacing w:after="0" w:line="240" w:lineRule="auto"/>
              <w:jc w:val="left"/>
              <w:rPr>
                <w:szCs w:val="20"/>
              </w:rPr>
            </w:pPr>
            <w:r w:rsidRPr="00FF17EC">
              <w:rPr>
                <w:szCs w:val="20"/>
              </w:rPr>
              <w:t xml:space="preserve">SEE </w:t>
            </w:r>
          </w:p>
        </w:tc>
        <w:tc>
          <w:tcPr>
            <w:tcW w:w="993" w:type="dxa"/>
          </w:tcPr>
          <w:p w:rsidR="00560FE8" w:rsidRPr="00FF17EC" w:rsidRDefault="00560FE8" w:rsidP="00EF40E0">
            <w:pPr>
              <w:spacing w:after="0" w:line="240" w:lineRule="auto"/>
              <w:jc w:val="left"/>
              <w:rPr>
                <w:szCs w:val="20"/>
              </w:rPr>
            </w:pPr>
            <w:r w:rsidRPr="00FF17EC">
              <w:rPr>
                <w:szCs w:val="20"/>
              </w:rPr>
              <w:t>South east Europe</w:t>
            </w:r>
          </w:p>
        </w:tc>
        <w:tc>
          <w:tcPr>
            <w:tcW w:w="3118" w:type="dxa"/>
          </w:tcPr>
          <w:p w:rsidR="00560FE8" w:rsidRPr="00FF17EC" w:rsidRDefault="00560FE8" w:rsidP="00EF40E0">
            <w:pPr>
              <w:spacing w:after="0" w:line="240" w:lineRule="auto"/>
              <w:jc w:val="left"/>
              <w:rPr>
                <w:szCs w:val="20"/>
              </w:rPr>
            </w:pPr>
            <w:r w:rsidRPr="00FF17EC">
              <w:rPr>
                <w:szCs w:val="20"/>
              </w:rPr>
              <w:t>Improvement of the territorial, economic and social integration process and contribution to cohesion, stability and competitiveness through the development of transnational partnerships and joint action on matters of strategic importance.</w:t>
            </w:r>
          </w:p>
        </w:tc>
        <w:tc>
          <w:tcPr>
            <w:tcW w:w="851" w:type="dxa"/>
          </w:tcPr>
          <w:p w:rsidR="00560FE8" w:rsidRPr="00FF17EC" w:rsidRDefault="00560FE8" w:rsidP="00EF40E0">
            <w:pPr>
              <w:spacing w:after="0" w:line="240" w:lineRule="auto"/>
              <w:jc w:val="left"/>
              <w:rPr>
                <w:szCs w:val="20"/>
              </w:rPr>
            </w:pPr>
            <w:r w:rsidRPr="00FF17EC">
              <w:rPr>
                <w:szCs w:val="20"/>
              </w:rPr>
              <w:t>246</w:t>
            </w:r>
          </w:p>
        </w:tc>
        <w:tc>
          <w:tcPr>
            <w:tcW w:w="850" w:type="dxa"/>
          </w:tcPr>
          <w:p w:rsidR="00560FE8" w:rsidRPr="00FF17EC" w:rsidRDefault="00560FE8" w:rsidP="00EF40E0">
            <w:pPr>
              <w:spacing w:after="0" w:line="240" w:lineRule="auto"/>
              <w:ind w:right="34"/>
              <w:jc w:val="left"/>
              <w:rPr>
                <w:szCs w:val="20"/>
              </w:rPr>
            </w:pPr>
            <w:r w:rsidRPr="00FF17EC">
              <w:rPr>
                <w:szCs w:val="20"/>
              </w:rPr>
              <w:t>Medium to High</w:t>
            </w:r>
          </w:p>
        </w:tc>
        <w:tc>
          <w:tcPr>
            <w:tcW w:w="2693" w:type="dxa"/>
          </w:tcPr>
          <w:p w:rsidR="00560FE8" w:rsidRPr="00FF17EC" w:rsidRDefault="00560FE8" w:rsidP="00EF40E0">
            <w:pPr>
              <w:spacing w:after="0" w:line="240" w:lineRule="auto"/>
              <w:jc w:val="left"/>
              <w:rPr>
                <w:szCs w:val="20"/>
              </w:rPr>
            </w:pPr>
            <w:r w:rsidRPr="00FF17EC">
              <w:rPr>
                <w:szCs w:val="20"/>
              </w:rPr>
              <w:t>PA1:Facilitation of innovation and entrepreneurship</w:t>
            </w:r>
          </w:p>
          <w:p w:rsidR="00560FE8" w:rsidRPr="00FF17EC" w:rsidRDefault="00560FE8" w:rsidP="00EF40E0">
            <w:pPr>
              <w:spacing w:after="0" w:line="240" w:lineRule="auto"/>
              <w:jc w:val="left"/>
              <w:rPr>
                <w:szCs w:val="20"/>
              </w:rPr>
            </w:pPr>
            <w:r w:rsidRPr="00FF17EC">
              <w:rPr>
                <w:szCs w:val="20"/>
              </w:rPr>
              <w:t>PA2: environment</w:t>
            </w:r>
          </w:p>
          <w:p w:rsidR="00560FE8" w:rsidRPr="00FF17EC" w:rsidRDefault="00560FE8" w:rsidP="00EF40E0">
            <w:pPr>
              <w:spacing w:after="0" w:line="240" w:lineRule="auto"/>
              <w:jc w:val="left"/>
              <w:rPr>
                <w:szCs w:val="20"/>
              </w:rPr>
            </w:pPr>
            <w:r w:rsidRPr="00FF17EC">
              <w:rPr>
                <w:szCs w:val="20"/>
              </w:rPr>
              <w:t>PA3: accessibility</w:t>
            </w:r>
          </w:p>
          <w:p w:rsidR="00560FE8" w:rsidRPr="00FF17EC" w:rsidRDefault="00560FE8" w:rsidP="00EF40E0">
            <w:pPr>
              <w:spacing w:after="0" w:line="240" w:lineRule="auto"/>
              <w:jc w:val="left"/>
              <w:rPr>
                <w:szCs w:val="20"/>
              </w:rPr>
            </w:pPr>
            <w:r w:rsidRPr="00FF17EC">
              <w:rPr>
                <w:szCs w:val="20"/>
              </w:rPr>
              <w:t>PA4: transnational synergies for sustainable growth areas</w:t>
            </w:r>
          </w:p>
        </w:tc>
      </w:tr>
      <w:tr w:rsidR="00560FE8" w:rsidRPr="00FF17EC" w:rsidTr="009341C2">
        <w:tc>
          <w:tcPr>
            <w:tcW w:w="675" w:type="dxa"/>
          </w:tcPr>
          <w:p w:rsidR="00560FE8" w:rsidRPr="00FF17EC" w:rsidRDefault="00560FE8" w:rsidP="00EF40E0">
            <w:pPr>
              <w:spacing w:after="0" w:line="240" w:lineRule="auto"/>
              <w:jc w:val="left"/>
              <w:rPr>
                <w:szCs w:val="20"/>
              </w:rPr>
            </w:pPr>
            <w:r w:rsidRPr="00FF17EC">
              <w:rPr>
                <w:szCs w:val="20"/>
              </w:rPr>
              <w:t>IPA CBC</w:t>
            </w:r>
          </w:p>
        </w:tc>
        <w:tc>
          <w:tcPr>
            <w:tcW w:w="993" w:type="dxa"/>
          </w:tcPr>
          <w:p w:rsidR="00560FE8" w:rsidRPr="00FF17EC" w:rsidRDefault="00560FE8" w:rsidP="00EF40E0">
            <w:pPr>
              <w:spacing w:after="0" w:line="240" w:lineRule="auto"/>
              <w:jc w:val="left"/>
              <w:rPr>
                <w:szCs w:val="20"/>
              </w:rPr>
            </w:pPr>
            <w:r w:rsidRPr="00FF17EC">
              <w:rPr>
                <w:szCs w:val="20"/>
              </w:rPr>
              <w:t>Hungary-Serbia</w:t>
            </w:r>
          </w:p>
        </w:tc>
        <w:tc>
          <w:tcPr>
            <w:tcW w:w="3118" w:type="dxa"/>
          </w:tcPr>
          <w:p w:rsidR="00560FE8" w:rsidRPr="00FF17EC" w:rsidRDefault="00560FE8" w:rsidP="00EF40E0">
            <w:pPr>
              <w:spacing w:after="0" w:line="240" w:lineRule="auto"/>
              <w:jc w:val="left"/>
              <w:rPr>
                <w:szCs w:val="20"/>
              </w:rPr>
            </w:pPr>
            <w:r w:rsidRPr="00FF17EC">
              <w:rPr>
                <w:szCs w:val="20"/>
              </w:rPr>
              <w:t>Facilitation of a harmonic and cooperating region with a sustainable and safe environment.</w:t>
            </w:r>
          </w:p>
        </w:tc>
        <w:tc>
          <w:tcPr>
            <w:tcW w:w="851" w:type="dxa"/>
          </w:tcPr>
          <w:p w:rsidR="00560FE8" w:rsidRPr="00FF17EC" w:rsidRDefault="00560FE8" w:rsidP="00EF40E0">
            <w:pPr>
              <w:spacing w:after="0" w:line="240" w:lineRule="auto"/>
              <w:jc w:val="left"/>
              <w:rPr>
                <w:szCs w:val="20"/>
              </w:rPr>
            </w:pPr>
            <w:r w:rsidRPr="00FF17EC">
              <w:rPr>
                <w:szCs w:val="20"/>
              </w:rPr>
              <w:t>21,7</w:t>
            </w:r>
          </w:p>
        </w:tc>
        <w:tc>
          <w:tcPr>
            <w:tcW w:w="850" w:type="dxa"/>
          </w:tcPr>
          <w:p w:rsidR="00560FE8" w:rsidRPr="00FF17EC" w:rsidRDefault="00560FE8" w:rsidP="00EF40E0">
            <w:pPr>
              <w:spacing w:after="0" w:line="240" w:lineRule="auto"/>
              <w:jc w:val="left"/>
              <w:rPr>
                <w:szCs w:val="20"/>
              </w:rPr>
            </w:pPr>
            <w:r w:rsidRPr="00FF17EC">
              <w:rPr>
                <w:szCs w:val="20"/>
              </w:rPr>
              <w:t>Medium (due to low funds)</w:t>
            </w:r>
          </w:p>
        </w:tc>
        <w:tc>
          <w:tcPr>
            <w:tcW w:w="2693" w:type="dxa"/>
          </w:tcPr>
          <w:p w:rsidR="00560FE8" w:rsidRPr="00FF17EC" w:rsidRDefault="00560FE8" w:rsidP="00EF40E0">
            <w:pPr>
              <w:spacing w:after="0" w:line="240" w:lineRule="auto"/>
              <w:jc w:val="left"/>
              <w:rPr>
                <w:szCs w:val="20"/>
              </w:rPr>
            </w:pPr>
            <w:r w:rsidRPr="00FF17EC">
              <w:rPr>
                <w:szCs w:val="20"/>
              </w:rPr>
              <w:t>PA1: Infrastructure and Environment</w:t>
            </w:r>
          </w:p>
          <w:p w:rsidR="00560FE8" w:rsidRPr="00FF17EC" w:rsidRDefault="00560FE8" w:rsidP="00EF40E0">
            <w:pPr>
              <w:spacing w:after="0" w:line="240" w:lineRule="auto"/>
              <w:jc w:val="left"/>
              <w:rPr>
                <w:szCs w:val="20"/>
              </w:rPr>
            </w:pPr>
            <w:r w:rsidRPr="00FF17EC">
              <w:rPr>
                <w:szCs w:val="20"/>
              </w:rPr>
              <w:t>PA2: Economy, Education and Culture</w:t>
            </w:r>
          </w:p>
        </w:tc>
      </w:tr>
      <w:tr w:rsidR="00560FE8" w:rsidRPr="00FF17EC" w:rsidTr="009341C2">
        <w:tc>
          <w:tcPr>
            <w:tcW w:w="675" w:type="dxa"/>
          </w:tcPr>
          <w:p w:rsidR="00560FE8" w:rsidRPr="00FF17EC" w:rsidRDefault="00560FE8" w:rsidP="00EF40E0">
            <w:pPr>
              <w:spacing w:after="0" w:line="240" w:lineRule="auto"/>
              <w:jc w:val="left"/>
              <w:rPr>
                <w:szCs w:val="20"/>
              </w:rPr>
            </w:pPr>
            <w:r w:rsidRPr="00FF17EC">
              <w:rPr>
                <w:szCs w:val="20"/>
              </w:rPr>
              <w:t>IPA CBC</w:t>
            </w:r>
          </w:p>
        </w:tc>
        <w:tc>
          <w:tcPr>
            <w:tcW w:w="993" w:type="dxa"/>
          </w:tcPr>
          <w:p w:rsidR="00560FE8" w:rsidRPr="00FF17EC" w:rsidRDefault="00560FE8" w:rsidP="00EF40E0">
            <w:pPr>
              <w:spacing w:after="0" w:line="240" w:lineRule="auto"/>
              <w:jc w:val="left"/>
              <w:rPr>
                <w:szCs w:val="20"/>
              </w:rPr>
            </w:pPr>
            <w:r w:rsidRPr="00FF17EC">
              <w:rPr>
                <w:szCs w:val="20"/>
              </w:rPr>
              <w:t>Bulgaria- Serbia</w:t>
            </w:r>
          </w:p>
        </w:tc>
        <w:tc>
          <w:tcPr>
            <w:tcW w:w="3118" w:type="dxa"/>
          </w:tcPr>
          <w:p w:rsidR="00560FE8" w:rsidRPr="00FF17EC" w:rsidRDefault="00560FE8" w:rsidP="00EF40E0">
            <w:pPr>
              <w:spacing w:after="0" w:line="240" w:lineRule="auto"/>
              <w:jc w:val="left"/>
              <w:rPr>
                <w:szCs w:val="20"/>
              </w:rPr>
            </w:pPr>
            <w:r w:rsidRPr="00FF17EC">
              <w:rPr>
                <w:szCs w:val="20"/>
              </w:rPr>
              <w:t>Strengthen territorial cohesion of the Bulgarian–Serbian cross-border region, its competitiveness and sustainability of its development through co-operation in the economic, social and environmental area over the administrative borders.</w:t>
            </w:r>
          </w:p>
        </w:tc>
        <w:tc>
          <w:tcPr>
            <w:tcW w:w="851" w:type="dxa"/>
          </w:tcPr>
          <w:p w:rsidR="00560FE8" w:rsidRPr="00FF17EC" w:rsidRDefault="00560FE8" w:rsidP="00EF40E0">
            <w:pPr>
              <w:spacing w:after="0" w:line="240" w:lineRule="auto"/>
              <w:jc w:val="left"/>
              <w:rPr>
                <w:szCs w:val="20"/>
              </w:rPr>
            </w:pPr>
            <w:r w:rsidRPr="00FF17EC">
              <w:rPr>
                <w:szCs w:val="20"/>
              </w:rPr>
              <w:t>13,5</w:t>
            </w:r>
          </w:p>
        </w:tc>
        <w:tc>
          <w:tcPr>
            <w:tcW w:w="850" w:type="dxa"/>
          </w:tcPr>
          <w:p w:rsidR="00560FE8" w:rsidRPr="00FF17EC" w:rsidRDefault="00560FE8" w:rsidP="00EF40E0">
            <w:pPr>
              <w:spacing w:after="0" w:line="240" w:lineRule="auto"/>
              <w:jc w:val="left"/>
              <w:rPr>
                <w:szCs w:val="20"/>
              </w:rPr>
            </w:pPr>
            <w:r w:rsidRPr="00FF17EC">
              <w:rPr>
                <w:szCs w:val="20"/>
              </w:rPr>
              <w:t>Medium (due to low funds)</w:t>
            </w:r>
          </w:p>
        </w:tc>
        <w:tc>
          <w:tcPr>
            <w:tcW w:w="2693" w:type="dxa"/>
          </w:tcPr>
          <w:p w:rsidR="00560FE8" w:rsidRPr="00FF17EC" w:rsidRDefault="00560FE8" w:rsidP="00EF40E0">
            <w:pPr>
              <w:spacing w:after="0" w:line="240" w:lineRule="auto"/>
              <w:jc w:val="left"/>
              <w:rPr>
                <w:szCs w:val="20"/>
              </w:rPr>
            </w:pPr>
            <w:r w:rsidRPr="00FF17EC">
              <w:rPr>
                <w:szCs w:val="20"/>
              </w:rPr>
              <w:t>PA1: Development of small-scale infrastructure</w:t>
            </w:r>
          </w:p>
          <w:p w:rsidR="00560FE8" w:rsidRPr="00FF17EC" w:rsidRDefault="00560FE8" w:rsidP="00EF40E0">
            <w:pPr>
              <w:keepNext/>
              <w:spacing w:after="0" w:line="240" w:lineRule="auto"/>
              <w:jc w:val="left"/>
              <w:rPr>
                <w:szCs w:val="20"/>
              </w:rPr>
            </w:pPr>
            <w:r w:rsidRPr="00FF17EC">
              <w:rPr>
                <w:szCs w:val="20"/>
              </w:rPr>
              <w:t>PA2: Enhancing capacity for joint planning, problem solving and development</w:t>
            </w:r>
          </w:p>
        </w:tc>
      </w:tr>
    </w:tbl>
    <w:p w:rsidR="00560FE8" w:rsidRPr="00FF17EC" w:rsidRDefault="00560FE8" w:rsidP="00560FE8">
      <w:pPr>
        <w:pStyle w:val="Caption"/>
        <w:rPr>
          <w:sz w:val="22"/>
          <w:szCs w:val="18"/>
        </w:rPr>
      </w:pPr>
      <w:r w:rsidRPr="00FF17EC">
        <w:rPr>
          <w:sz w:val="22"/>
          <w:szCs w:val="18"/>
        </w:rPr>
        <w:lastRenderedPageBreak/>
        <w:t xml:space="preserve">Table </w:t>
      </w:r>
      <w:r w:rsidR="00085686" w:rsidRPr="00FF17EC">
        <w:rPr>
          <w:sz w:val="22"/>
          <w:szCs w:val="18"/>
        </w:rPr>
        <w:fldChar w:fldCharType="begin"/>
      </w:r>
      <w:r w:rsidR="005C4AE7" w:rsidRPr="00FF17EC">
        <w:rPr>
          <w:sz w:val="22"/>
          <w:szCs w:val="18"/>
        </w:rPr>
        <w:instrText xml:space="preserve"> STYLEREF 1 \s </w:instrText>
      </w:r>
      <w:r w:rsidR="00085686" w:rsidRPr="00FF17EC">
        <w:rPr>
          <w:sz w:val="22"/>
          <w:szCs w:val="18"/>
        </w:rPr>
        <w:fldChar w:fldCharType="separate"/>
      </w:r>
      <w:r w:rsidR="009737E5">
        <w:rPr>
          <w:noProof/>
          <w:sz w:val="22"/>
          <w:szCs w:val="18"/>
        </w:rPr>
        <w:t>13</w:t>
      </w:r>
      <w:r w:rsidR="00085686" w:rsidRPr="00FF17EC">
        <w:rPr>
          <w:sz w:val="22"/>
          <w:szCs w:val="18"/>
        </w:rPr>
        <w:fldChar w:fldCharType="end"/>
      </w:r>
      <w:r w:rsidR="005C4AE7" w:rsidRPr="00FF17EC">
        <w:rPr>
          <w:sz w:val="22"/>
          <w:szCs w:val="18"/>
        </w:rPr>
        <w:noBreakHyphen/>
      </w:r>
      <w:r w:rsidR="00085686" w:rsidRPr="00FF17EC">
        <w:rPr>
          <w:sz w:val="22"/>
          <w:szCs w:val="18"/>
        </w:rPr>
        <w:fldChar w:fldCharType="begin"/>
      </w:r>
      <w:r w:rsidR="005C4AE7" w:rsidRPr="00FF17EC">
        <w:rPr>
          <w:sz w:val="22"/>
          <w:szCs w:val="18"/>
        </w:rPr>
        <w:instrText xml:space="preserve"> SEQ Table \* ARABIC \s 1 </w:instrText>
      </w:r>
      <w:r w:rsidR="00085686" w:rsidRPr="00FF17EC">
        <w:rPr>
          <w:sz w:val="22"/>
          <w:szCs w:val="18"/>
        </w:rPr>
        <w:fldChar w:fldCharType="separate"/>
      </w:r>
      <w:r w:rsidR="009737E5">
        <w:rPr>
          <w:noProof/>
          <w:sz w:val="22"/>
          <w:szCs w:val="18"/>
        </w:rPr>
        <w:t>1</w:t>
      </w:r>
      <w:r w:rsidR="00085686" w:rsidRPr="00FF17EC">
        <w:rPr>
          <w:sz w:val="22"/>
          <w:szCs w:val="18"/>
        </w:rPr>
        <w:fldChar w:fldCharType="end"/>
      </w:r>
      <w:r w:rsidR="00747E4D">
        <w:rPr>
          <w:sz w:val="22"/>
          <w:szCs w:val="18"/>
        </w:rPr>
        <w:t xml:space="preserve"> Programmes in the eligible area and interaction with RO SE CBC</w:t>
      </w:r>
    </w:p>
    <w:p w:rsidR="00D2142D" w:rsidRPr="00FF17EC" w:rsidRDefault="00D2142D" w:rsidP="00D2142D"/>
    <w:p w:rsidR="00EF40E0" w:rsidRPr="00FF17EC" w:rsidRDefault="00EF40E0" w:rsidP="00D2142D">
      <w:pPr>
        <w:sectPr w:rsidR="00EF40E0" w:rsidRPr="00FF17EC" w:rsidSect="00EE7B5D">
          <w:pgSz w:w="15840" w:h="12240" w:orient="landscape"/>
          <w:pgMar w:top="1411" w:right="1843" w:bottom="1411" w:left="1699" w:header="706" w:footer="0" w:gutter="0"/>
          <w:cols w:space="708"/>
          <w:noEndnote/>
          <w:docGrid w:linePitch="299"/>
        </w:sectPr>
      </w:pPr>
    </w:p>
    <w:p w:rsidR="00D2142D" w:rsidRPr="00FF17EC" w:rsidRDefault="00D2142D" w:rsidP="00D2142D"/>
    <w:p w:rsidR="00D2142D" w:rsidRPr="00FF17EC" w:rsidRDefault="00D2142D" w:rsidP="00D2142D">
      <w:r w:rsidRPr="00FF17EC">
        <w:t xml:space="preserve">Apart from those programmes, various international, bilateral and European programmes have supported interventions for a range of topics, ranging from environmental infrastructure and urban rehabilitation up to economic development and civil society environment. Romania after accession to the EU in 2007 has been able to use Structural Funds to its avail, building on the rich experience accumulated through PHARE. In Serbia CARDS and IPA efforts have been accompanied by numerous projects e.g. through GTZ, World Bank and other donors. While the multitude and magnitude of these programmes and single projects is too long to list here, it would be a prerequisite for every project financed under the CBC-OP to demonstrate how it builds on past experiences and projects of different frameworks. </w:t>
      </w:r>
    </w:p>
    <w:p w:rsidR="00D2142D" w:rsidRPr="00FF17EC" w:rsidRDefault="00D2142D" w:rsidP="00D2142D">
      <w:r w:rsidRPr="00FF17EC">
        <w:t xml:space="preserve">Apart from those programmes, various international, bilateral and European programmes have supported interventions for a range of topics, ranging from environmental infrastructure and urban rehabilitation up to economic development and civil society environment. In Romania EU accession and the utilisation of the European Structural Funds led to a rapid rise of the capacity level of the administration and the potential applicants also building on the rich experience accumulated through PHARE. In Serbia CARDS and IPA efforts have been accompanied by numerous projects e.g. through GTZ, World Bank and other bilateral and multilateral donors. </w:t>
      </w:r>
    </w:p>
    <w:p w:rsidR="00D2142D" w:rsidRPr="00FF17EC" w:rsidRDefault="00D2142D" w:rsidP="00D2142D">
      <w:r w:rsidRPr="00FF17EC">
        <w:t>Every project financed under the CBC Programme will have to demonstrate how it builds on past experiences and projects.</w:t>
      </w:r>
    </w:p>
    <w:p w:rsidR="00D2142D" w:rsidRPr="00FF17EC" w:rsidRDefault="00D2142D" w:rsidP="00D2142D">
      <w:r w:rsidRPr="00FF17EC">
        <w:t>Last but not least, a number of euroregions are active in the area, the most important being the</w:t>
      </w:r>
      <w:r w:rsidR="004B0E46" w:rsidRPr="00FF17EC">
        <w:t xml:space="preserve"> </w:t>
      </w:r>
      <w:r w:rsidRPr="00FF17EC">
        <w:t xml:space="preserve">“Danube-Kris-Mures-Tisa Regional Cooperation” (DKMT) established in 1997 with the aim to develop and broaden relationships among local communities and local governments in the field of economy, education, culture, science and sports – and help the region to maintain the process of the European integration. </w:t>
      </w:r>
    </w:p>
    <w:p w:rsidR="00D2142D" w:rsidRPr="00FF17EC" w:rsidRDefault="00D2142D" w:rsidP="00D2142D">
      <w:r w:rsidRPr="00FF17EC">
        <w:t>The Euroregion maintains a number of workgroups in the domains:</w:t>
      </w:r>
    </w:p>
    <w:p w:rsidR="00D2142D" w:rsidRPr="00FF17EC" w:rsidRDefault="00D2142D" w:rsidP="00D2142D">
      <w:pPr>
        <w:pStyle w:val="ListParagraph"/>
        <w:numPr>
          <w:ilvl w:val="1"/>
          <w:numId w:val="30"/>
        </w:numPr>
      </w:pPr>
      <w:r w:rsidRPr="00FF17EC">
        <w:t>Economy, infrastructure and tourism workgroup</w:t>
      </w:r>
    </w:p>
    <w:p w:rsidR="00D2142D" w:rsidRPr="00FF17EC" w:rsidRDefault="00D2142D" w:rsidP="00D2142D">
      <w:pPr>
        <w:pStyle w:val="ListParagraph"/>
        <w:numPr>
          <w:ilvl w:val="1"/>
          <w:numId w:val="30"/>
        </w:numPr>
      </w:pPr>
      <w:r w:rsidRPr="00FF17EC">
        <w:t>Urbanism, nature and environmental protection workgroup</w:t>
      </w:r>
    </w:p>
    <w:p w:rsidR="00D2142D" w:rsidRPr="00FF17EC" w:rsidRDefault="00D2142D" w:rsidP="00D2142D">
      <w:pPr>
        <w:pStyle w:val="ListParagraph"/>
        <w:numPr>
          <w:ilvl w:val="1"/>
          <w:numId w:val="30"/>
        </w:numPr>
      </w:pPr>
      <w:r w:rsidRPr="00FF17EC">
        <w:t>Culture, sports, non-governmental organisations and social issues workgroup</w:t>
      </w:r>
    </w:p>
    <w:p w:rsidR="00D2142D" w:rsidRPr="00FF17EC" w:rsidRDefault="00D2142D" w:rsidP="00D2142D">
      <w:pPr>
        <w:pStyle w:val="ListParagraph"/>
        <w:numPr>
          <w:ilvl w:val="1"/>
          <w:numId w:val="30"/>
        </w:numPr>
      </w:pPr>
      <w:r w:rsidRPr="00FF17EC">
        <w:t>International relations, information and mass communication workgroup</w:t>
      </w:r>
    </w:p>
    <w:p w:rsidR="00D2142D" w:rsidRPr="00FF17EC" w:rsidRDefault="00D2142D" w:rsidP="00D2142D">
      <w:pPr>
        <w:pStyle w:val="ListParagraph"/>
        <w:numPr>
          <w:ilvl w:val="1"/>
          <w:numId w:val="30"/>
        </w:numPr>
      </w:pPr>
      <w:r w:rsidRPr="00FF17EC">
        <w:lastRenderedPageBreak/>
        <w:t>Catastrophe prevention workgroup</w:t>
      </w:r>
    </w:p>
    <w:p w:rsidR="00D2142D" w:rsidRPr="00FF17EC" w:rsidRDefault="00D2142D" w:rsidP="00D2142D">
      <w:pPr>
        <w:pStyle w:val="ListParagraph"/>
        <w:numPr>
          <w:ilvl w:val="1"/>
          <w:numId w:val="30"/>
        </w:numPr>
      </w:pPr>
      <w:r w:rsidRPr="00FF17EC">
        <w:t>National health workgroup</w:t>
      </w:r>
    </w:p>
    <w:p w:rsidR="00D2142D" w:rsidRPr="00FF17EC" w:rsidRDefault="00D2142D" w:rsidP="00D2142D">
      <w:pPr>
        <w:pStyle w:val="ListParagraph"/>
        <w:numPr>
          <w:ilvl w:val="1"/>
          <w:numId w:val="30"/>
        </w:numPr>
      </w:pPr>
      <w:r w:rsidRPr="00FF17EC">
        <w:t>Healthcare workgroup</w:t>
      </w:r>
    </w:p>
    <w:p w:rsidR="00D2142D" w:rsidRPr="00FF17EC" w:rsidRDefault="00D2142D" w:rsidP="00D2142D">
      <w:pPr>
        <w:pStyle w:val="ListParagraph"/>
        <w:numPr>
          <w:ilvl w:val="1"/>
          <w:numId w:val="30"/>
        </w:numPr>
      </w:pPr>
      <w:r w:rsidRPr="00FF17EC">
        <w:t>Industrial park workgroup</w:t>
      </w:r>
    </w:p>
    <w:p w:rsidR="00D2142D" w:rsidRPr="00FF17EC" w:rsidRDefault="00D2142D" w:rsidP="00D2142D">
      <w:pPr>
        <w:pStyle w:val="ListParagraph"/>
        <w:numPr>
          <w:ilvl w:val="1"/>
          <w:numId w:val="30"/>
        </w:numPr>
      </w:pPr>
      <w:r w:rsidRPr="00FF17EC">
        <w:t>Tourism workgroup</w:t>
      </w:r>
    </w:p>
    <w:p w:rsidR="00D2142D" w:rsidRPr="00FF17EC" w:rsidRDefault="00D2142D" w:rsidP="00D2142D">
      <w:pPr>
        <w:pStyle w:val="ListParagraph"/>
        <w:numPr>
          <w:ilvl w:val="1"/>
          <w:numId w:val="30"/>
        </w:numPr>
      </w:pPr>
      <w:r w:rsidRPr="00FF17EC">
        <w:t>Agricultural workgroup</w:t>
      </w:r>
    </w:p>
    <w:p w:rsidR="005E6266" w:rsidRPr="00FF17EC" w:rsidRDefault="00D2142D" w:rsidP="00D2142D">
      <w:r w:rsidRPr="00FF17EC">
        <w:t>The DKMT demonstrates an example of bottom up engagement and also a platform for sustainable project results, acting as a show case of cross border governance and integration and as a cadre to refer to.</w:t>
      </w:r>
    </w:p>
    <w:p w:rsidR="004B54BA" w:rsidRPr="00FF17EC" w:rsidRDefault="004B54BA" w:rsidP="004B54BA">
      <w:pPr>
        <w:spacing w:after="0" w:line="240" w:lineRule="auto"/>
        <w:rPr>
          <w:b/>
          <w:lang w:val="en-US" w:eastAsia="it-IT"/>
        </w:rPr>
      </w:pPr>
    </w:p>
    <w:p w:rsidR="004B54BA" w:rsidRPr="00FF17EC" w:rsidRDefault="004B54BA" w:rsidP="00A62261">
      <w:pPr>
        <w:pStyle w:val="Heading1"/>
      </w:pPr>
      <w:bookmarkStart w:id="123" w:name="_Toc383354424"/>
      <w:bookmarkStart w:id="124" w:name="_Toc383415729"/>
      <w:r w:rsidRPr="00FF17EC">
        <w:lastRenderedPageBreak/>
        <w:t>Conclusions</w:t>
      </w:r>
      <w:bookmarkEnd w:id="123"/>
      <w:bookmarkEnd w:id="124"/>
    </w:p>
    <w:p w:rsidR="004B54BA" w:rsidRPr="00FF17EC" w:rsidRDefault="004B54BA" w:rsidP="004B54BA">
      <w:r w:rsidRPr="00FF17EC">
        <w:t xml:space="preserve">The TA provided a description of many common challenges for a smart sustainable and inclusive growth. Some of these challenges can be effectively addressed by joint cross border actions. </w:t>
      </w:r>
    </w:p>
    <w:p w:rsidR="004B54BA" w:rsidRPr="00FF17EC" w:rsidRDefault="004B54BA" w:rsidP="004B54BA">
      <w:r w:rsidRPr="00FF17EC">
        <w:t xml:space="preserve">Both communities, in the Republic of Serbia and in Romania, suffer of a demographic decline, with aging of the population particularly severe in the marginal areas. This process led to increased difficulties of the weaker components of society to access the basic social services, first of all health care services, and also primary education and adult training. </w:t>
      </w:r>
    </w:p>
    <w:p w:rsidR="004B54BA" w:rsidRPr="00FF17EC" w:rsidRDefault="004B54BA" w:rsidP="004B54BA">
      <w:r w:rsidRPr="00FF17EC">
        <w:t xml:space="preserve">Unemployment and low rate of activities are another common and serious challenge in the eligible area. </w:t>
      </w:r>
    </w:p>
    <w:p w:rsidR="004B54BA" w:rsidRPr="00FF17EC" w:rsidRDefault="004B54BA" w:rsidP="004B54BA">
      <w:r w:rsidRPr="00FF17EC">
        <w:t>In both fields can be identified a relevant potential of joint cross border actions, created under the thematic priority a) established</w:t>
      </w:r>
      <w:r w:rsidR="00634723" w:rsidRPr="00FF17EC">
        <w:t xml:space="preserve"> </w:t>
      </w:r>
      <w:r w:rsidRPr="00FF17EC">
        <w:t>by the IPA II regulation</w:t>
      </w:r>
      <w:r w:rsidRPr="00FF17EC">
        <w:rPr>
          <w:rStyle w:val="FootnoteReference"/>
        </w:rPr>
        <w:footnoteReference w:id="61"/>
      </w:r>
      <w:r w:rsidRPr="00FF17EC">
        <w:t xml:space="preserve">, “promoting employment, labour mobility and social and cultural inclusion across the border...”. </w:t>
      </w:r>
    </w:p>
    <w:p w:rsidR="004B54BA" w:rsidRPr="00FF17EC" w:rsidRDefault="004B54BA" w:rsidP="004B54BA">
      <w:r w:rsidRPr="00FF17EC">
        <w:t>The long history of cross border interaction, and the recent experience of cooperation under the current programme, created a relevant potential for common actions, especially in the field of social services in marginal areas, or social and cultural inclusion, and promotion of access to the labour market.</w:t>
      </w:r>
    </w:p>
    <w:p w:rsidR="004B54BA" w:rsidRPr="00FF17EC" w:rsidRDefault="004B54BA" w:rsidP="004B54BA">
      <w:r w:rsidRPr="00FF17EC">
        <w:t>The second common challenge is related to environmental issues. From the plains of Banat and Timis counties, to the Carpathian Mountains, to the Danube valley, all the Serbian and Romanian communities live in an extremely integrated and interdependent environmental system. These systems generates challenges that can be addressed only through common actions, by establishing a sustainable use of natural resources, in particular water, by developing and managing environmental infrastructures, by protecting natural resources. All these challenges can be addressed by actions in the framework of the second thematic priority of the IPA II regulation: “Protecting the environment, promoting climate change adaptation and mitigation, risk prevention and management”</w:t>
      </w:r>
      <w:r w:rsidR="00634723" w:rsidRPr="00FF17EC">
        <w:t xml:space="preserve"> </w:t>
      </w:r>
      <w:r w:rsidRPr="00FF17EC">
        <w:t>The actions</w:t>
      </w:r>
      <w:r w:rsidR="00634723" w:rsidRPr="00FF17EC">
        <w:t xml:space="preserve"> </w:t>
      </w:r>
      <w:r w:rsidRPr="00FF17EC">
        <w:t xml:space="preserve">in the field of environmental protection and </w:t>
      </w:r>
      <w:r w:rsidRPr="00FF17EC">
        <w:lastRenderedPageBreak/>
        <w:t xml:space="preserve">sustainable development are also those where the strongest synergies with the Danube regions strategy can be pursued. </w:t>
      </w:r>
    </w:p>
    <w:p w:rsidR="004B54BA" w:rsidRPr="00FF17EC" w:rsidRDefault="004B54BA" w:rsidP="004B54BA">
      <w:r w:rsidRPr="00FF17EC">
        <w:t xml:space="preserve">The third area of potential cooperation that clearly emerged from the territorial analysis is that of local transport and utility networks and services. The eligible area has good accessibility to national and European transport networks, but suffers of a poor quality and inefficiency of local networks, for both transport infrastructure and public services. The severity of this challenge is worsened by the risks of marginalization of the remote rural areas, in particular those close to the borders, and those in the mountains. </w:t>
      </w:r>
    </w:p>
    <w:p w:rsidR="004B54BA" w:rsidRPr="00FF17EC" w:rsidRDefault="004B54BA" w:rsidP="004B54BA">
      <w:r w:rsidRPr="00FF17EC">
        <w:t xml:space="preserve">Similar dualism can be observed in the basic public service networks, for example waste management, with the remote areas on both sides of the border needing strong improvement and extension of the services provided. </w:t>
      </w:r>
    </w:p>
    <w:p w:rsidR="004B54BA" w:rsidRPr="00FF17EC" w:rsidRDefault="004B54BA" w:rsidP="004B54BA">
      <w:r w:rsidRPr="00FF17EC">
        <w:t>The strong similarity of structural conditions and recent trends generate a potential of common cross border actions, in the framework of the third thematic priority proposed by the IPA II regulation: “Promoting sustainable transport and improving public infrastructures …” In particular common action for soft innovations in the provision and management of public services, for the establishment of innovative systems for public transport, for the provision of basic utilities to remote areas, could benefit of joint actions and sharing of experiences across the border.</w:t>
      </w:r>
    </w:p>
    <w:p w:rsidR="004B54BA" w:rsidRPr="00FF17EC" w:rsidRDefault="004B54BA" w:rsidP="004B54BA">
      <w:r w:rsidRPr="00FF17EC">
        <w:t>Last one of the main potential actions for sustainable development in the area can be</w:t>
      </w:r>
      <w:r w:rsidR="00634723" w:rsidRPr="00FF17EC">
        <w:t xml:space="preserve"> </w:t>
      </w:r>
      <w:r w:rsidRPr="00FF17EC">
        <w:t>identified in the enormous capital of natural resources, most of them shared across the border and strongly interconnected. The Territorial analysis highlighted that the natural patrimony is relevant and that the main attractors are widespread all over the eligible area. The growing global competition for the innovative demands on tourism, like eco-tourism, cultural tourism, as many forms of thematic tourism, forces the local systems to adopt integrated territorial strategies, creating tourism products based on networks of attractors and services. These actions could benefit from strong cross border synergies, and could be implemented in the framework of the fourth priority proposed by the IPA II draft regulation: “Encouraging tourism and cultural and natural heritage.”</w:t>
      </w:r>
    </w:p>
    <w:p w:rsidR="00D2142D" w:rsidRDefault="004B54BA" w:rsidP="001C756E">
      <w:r w:rsidRPr="00FF17EC">
        <w:t>These preliminary conclusions will be further elaborated in the SWOT analysis and in the design of the programme strategy.</w:t>
      </w:r>
    </w:p>
    <w:sectPr w:rsidR="00D2142D" w:rsidSect="00EF40E0">
      <w:pgSz w:w="12240" w:h="15840" w:code="1"/>
      <w:pgMar w:top="1843" w:right="1411" w:bottom="1699" w:left="1411" w:header="706" w:footer="347" w:gutter="0"/>
      <w:cols w:space="708"/>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66F83" w:rsidRDefault="00466F83" w:rsidP="00766BB2">
      <w:r>
        <w:separator/>
      </w:r>
    </w:p>
  </w:endnote>
  <w:endnote w:type="continuationSeparator" w:id="0">
    <w:p w:rsidR="00466F83" w:rsidRDefault="00466F83" w:rsidP="00766B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Times New (W1)">
    <w:altName w:val="Times New Roman"/>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rueHelveticaLight">
    <w:altName w:val="Times New Roman"/>
    <w:charset w:val="00"/>
    <w:family w:val="auto"/>
    <w:pitch w:val="variable"/>
    <w:sig w:usb0="00000003" w:usb1="00000000" w:usb2="00000000" w:usb3="00000000" w:csb0="00000001" w:csb1="00000000"/>
  </w:font>
  <w:font w:name="TrueHelveticaBlack">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MT">
    <w:panose1 w:val="00000000000000000000"/>
    <w:charset w:val="00"/>
    <w:family w:val="swiss"/>
    <w:notTrueType/>
    <w:pitch w:val="default"/>
    <w:sig w:usb0="00000003" w:usb1="00000000" w:usb2="00000000" w:usb3="00000000" w:csb0="00000001" w:csb1="00000000"/>
  </w:font>
  <w:font w:name="MyriadPro-LightI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554E" w:rsidRDefault="00085686" w:rsidP="00766BB2">
    <w:pPr>
      <w:pStyle w:val="Footer"/>
      <w:rPr>
        <w:rStyle w:val="PageNumber"/>
        <w:rFonts w:cs="Trebuchet MS"/>
      </w:rPr>
    </w:pPr>
    <w:r>
      <w:rPr>
        <w:rStyle w:val="PageNumber"/>
        <w:rFonts w:cs="Trebuchet MS"/>
      </w:rPr>
      <w:fldChar w:fldCharType="begin"/>
    </w:r>
    <w:r w:rsidR="001D554E">
      <w:rPr>
        <w:rStyle w:val="PageNumber"/>
        <w:rFonts w:cs="Trebuchet MS"/>
      </w:rPr>
      <w:instrText xml:space="preserve">PAGE  </w:instrText>
    </w:r>
    <w:r>
      <w:rPr>
        <w:rStyle w:val="PageNumber"/>
        <w:rFonts w:cs="Trebuchet MS"/>
      </w:rPr>
      <w:fldChar w:fldCharType="separate"/>
    </w:r>
    <w:r w:rsidR="001D554E">
      <w:rPr>
        <w:rStyle w:val="PageNumber"/>
        <w:rFonts w:cs="Trebuchet MS"/>
        <w:noProof/>
      </w:rPr>
      <w:t>2</w:t>
    </w:r>
    <w:r>
      <w:rPr>
        <w:rStyle w:val="PageNumber"/>
        <w:rFonts w:cs="Trebuchet MS"/>
      </w:rPr>
      <w:fldChar w:fldCharType="end"/>
    </w:r>
  </w:p>
  <w:p w:rsidR="001D554E" w:rsidRDefault="001D554E" w:rsidP="00766BB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554E" w:rsidRDefault="001D554E" w:rsidP="00015F7F">
    <w:pPr>
      <w:pStyle w:val="Footer"/>
      <w:tabs>
        <w:tab w:val="clear" w:pos="9072"/>
        <w:tab w:val="right" w:pos="9923"/>
      </w:tabs>
    </w:pPr>
    <w:r>
      <w:rPr>
        <w:noProof/>
        <w:lang w:eastAsia="en-GB"/>
      </w:rPr>
      <w:drawing>
        <wp:anchor distT="0" distB="0" distL="114300" distR="114300" simplePos="0" relativeHeight="251704320" behindDoc="0" locked="0" layoutInCell="1" allowOverlap="1">
          <wp:simplePos x="0" y="0"/>
          <wp:positionH relativeFrom="column">
            <wp:posOffset>3277235</wp:posOffset>
          </wp:positionH>
          <wp:positionV relativeFrom="paragraph">
            <wp:posOffset>8899525</wp:posOffset>
          </wp:positionV>
          <wp:extent cx="1132205" cy="664210"/>
          <wp:effectExtent l="19050" t="0" r="0" b="0"/>
          <wp:wrapNone/>
          <wp:docPr id="46" name="Picture 18" descr="Logo CBC RO-SE NET engl 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ogo CBC RO-SE NET engl crop"/>
                  <pic:cNvPicPr>
                    <a:picLocks noChangeAspect="1" noChangeArrowheads="1"/>
                  </pic:cNvPicPr>
                </pic:nvPicPr>
                <pic:blipFill>
                  <a:blip r:embed="rId1"/>
                  <a:srcRect/>
                  <a:stretch>
                    <a:fillRect/>
                  </a:stretch>
                </pic:blipFill>
                <pic:spPr bwMode="auto">
                  <a:xfrm>
                    <a:off x="0" y="0"/>
                    <a:ext cx="1132205" cy="664210"/>
                  </a:xfrm>
                  <a:prstGeom prst="rect">
                    <a:avLst/>
                  </a:prstGeom>
                  <a:noFill/>
                  <a:ln w="9525">
                    <a:noFill/>
                    <a:miter lim="800000"/>
                    <a:headEnd/>
                    <a:tailEnd/>
                  </a:ln>
                </pic:spPr>
              </pic:pic>
            </a:graphicData>
          </a:graphic>
        </wp:anchor>
      </w:drawing>
    </w:r>
    <w:r>
      <w:tab/>
    </w:r>
    <w:r>
      <w:tab/>
    </w:r>
  </w:p>
  <w:p w:rsidR="001D554E" w:rsidRDefault="001D554E" w:rsidP="00766BB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554E" w:rsidRDefault="001D554E" w:rsidP="00EE7B5D">
    <w:pPr>
      <w:pStyle w:val="Footer"/>
      <w:tabs>
        <w:tab w:val="clear" w:pos="9072"/>
        <w:tab w:val="right" w:pos="9923"/>
      </w:tabs>
      <w:ind w:left="-709"/>
    </w:pPr>
    <w:r>
      <w:rPr>
        <w:noProof/>
        <w:lang w:eastAsia="en-GB"/>
      </w:rPr>
      <w:drawing>
        <wp:anchor distT="0" distB="0" distL="114300" distR="114300" simplePos="0" relativeHeight="251712512" behindDoc="0" locked="0" layoutInCell="1" allowOverlap="1">
          <wp:simplePos x="0" y="0"/>
          <wp:positionH relativeFrom="column">
            <wp:posOffset>3277235</wp:posOffset>
          </wp:positionH>
          <wp:positionV relativeFrom="paragraph">
            <wp:posOffset>8899525</wp:posOffset>
          </wp:positionV>
          <wp:extent cx="1132205" cy="664210"/>
          <wp:effectExtent l="19050" t="0" r="0" b="0"/>
          <wp:wrapNone/>
          <wp:docPr id="45" name="Picture 18" descr="Logo CBC RO-SE NET engl 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ogo CBC RO-SE NET engl crop"/>
                  <pic:cNvPicPr>
                    <a:picLocks noChangeAspect="1" noChangeArrowheads="1"/>
                  </pic:cNvPicPr>
                </pic:nvPicPr>
                <pic:blipFill>
                  <a:blip r:embed="rId1"/>
                  <a:srcRect/>
                  <a:stretch>
                    <a:fillRect/>
                  </a:stretch>
                </pic:blipFill>
                <pic:spPr bwMode="auto">
                  <a:xfrm>
                    <a:off x="0" y="0"/>
                    <a:ext cx="1132205" cy="664210"/>
                  </a:xfrm>
                  <a:prstGeom prst="rect">
                    <a:avLst/>
                  </a:prstGeom>
                  <a:noFill/>
                  <a:ln w="9525">
                    <a:noFill/>
                    <a:miter lim="800000"/>
                    <a:headEnd/>
                    <a:tailEnd/>
                  </a:ln>
                </pic:spPr>
              </pic:pic>
            </a:graphicData>
          </a:graphic>
        </wp:anchor>
      </w:drawing>
    </w:r>
    <w:r>
      <w:tab/>
    </w:r>
    <w:r w:rsidR="003C3456">
      <w:fldChar w:fldCharType="begin"/>
    </w:r>
    <w:r w:rsidR="003C3456">
      <w:instrText xml:space="preserve"> PAGE   \* MERGEFORMAT </w:instrText>
    </w:r>
    <w:r w:rsidR="003C3456">
      <w:fldChar w:fldCharType="separate"/>
    </w:r>
    <w:r w:rsidR="00DD3A65">
      <w:rPr>
        <w:noProof/>
      </w:rPr>
      <w:t>112</w:t>
    </w:r>
    <w:r w:rsidR="003C3456">
      <w:rPr>
        <w:noProof/>
      </w:rPr>
      <w:fldChar w:fldCharType="end"/>
    </w:r>
  </w:p>
  <w:p w:rsidR="001D554E" w:rsidRDefault="001D554E" w:rsidP="00766B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66F83" w:rsidRDefault="00466F83" w:rsidP="00766BB2">
      <w:r>
        <w:separator/>
      </w:r>
    </w:p>
  </w:footnote>
  <w:footnote w:type="continuationSeparator" w:id="0">
    <w:p w:rsidR="00466F83" w:rsidRDefault="00466F83" w:rsidP="00766BB2">
      <w:r>
        <w:continuationSeparator/>
      </w:r>
    </w:p>
  </w:footnote>
  <w:footnote w:id="1">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DG Regio: draft implementing acts. list of ETC programmes: </w:t>
      </w:r>
      <w:hyperlink r:id="rId1" w:anchor="2" w:history="1">
        <w:r w:rsidRPr="00744986">
          <w:rPr>
            <w:rStyle w:val="Hyperlink"/>
            <w:rFonts w:cs="Trebuchet MS"/>
            <w:sz w:val="20"/>
            <w:szCs w:val="20"/>
          </w:rPr>
          <w:t>http://ec.europa.eu/regional</w:t>
        </w:r>
        <w:r w:rsidRPr="00744986">
          <w:rPr>
            <w:rStyle w:val="Hyperlink"/>
            <w:rFonts w:eastAsiaTheme="majorEastAsia" w:cs="Trebuchet MS"/>
            <w:sz w:val="20"/>
            <w:szCs w:val="20"/>
          </w:rPr>
          <w:t xml:space="preserve"> </w:t>
        </w:r>
        <w:r w:rsidRPr="00744986">
          <w:rPr>
            <w:rStyle w:val="Hyperlink"/>
            <w:rFonts w:cs="Trebuchet MS"/>
            <w:sz w:val="20"/>
            <w:szCs w:val="20"/>
          </w:rPr>
          <w:t>_policy/what/ future/experts</w:t>
        </w:r>
        <w:r w:rsidRPr="00744986">
          <w:rPr>
            <w:rStyle w:val="Hyperlink"/>
            <w:rFonts w:eastAsiaTheme="majorEastAsia" w:cs="Trebuchet MS"/>
            <w:sz w:val="20"/>
            <w:szCs w:val="20"/>
          </w:rPr>
          <w:t xml:space="preserve"> </w:t>
        </w:r>
        <w:r w:rsidRPr="00744986">
          <w:rPr>
            <w:rStyle w:val="Hyperlink"/>
            <w:rFonts w:cs="Trebuchet MS"/>
            <w:sz w:val="20"/>
            <w:szCs w:val="20"/>
          </w:rPr>
          <w:t>_documents_en.cfm#2</w:t>
        </w:r>
      </w:hyperlink>
      <w:r w:rsidRPr="00744986">
        <w:rPr>
          <w:sz w:val="20"/>
          <w:szCs w:val="20"/>
        </w:rPr>
        <w:t xml:space="preserve"> </w:t>
      </w:r>
    </w:p>
  </w:footnote>
  <w:footnote w:id="2">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w:t>
      </w:r>
      <w:hyperlink r:id="rId2" w:history="1">
        <w:r w:rsidRPr="00744986">
          <w:rPr>
            <w:rStyle w:val="Hyperlink"/>
            <w:rFonts w:cs="Trebuchet MS"/>
            <w:sz w:val="20"/>
            <w:szCs w:val="20"/>
          </w:rPr>
          <w:t>http://www.icpdr.org/main/danube-basin/countries-danube-river-basin</w:t>
        </w:r>
      </w:hyperlink>
      <w:r w:rsidRPr="00744986">
        <w:rPr>
          <w:sz w:val="20"/>
          <w:szCs w:val="20"/>
        </w:rPr>
        <w:t xml:space="preserve"> </w:t>
      </w:r>
    </w:p>
  </w:footnote>
  <w:footnote w:id="3">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According to the Law 46/2010 </w:t>
      </w:r>
      <w:hyperlink r:id="rId3" w:history="1">
        <w:r w:rsidRPr="00F21D79">
          <w:rPr>
            <w:rStyle w:val="Hyperlink"/>
            <w:rFonts w:cs="Trebuchet MS"/>
            <w:sz w:val="20"/>
            <w:szCs w:val="20"/>
          </w:rPr>
          <w:t>http://www.mrrls.gov.rs/sites/default/files/attachment /UREDBA%20O%20NOMENKLATURI%20STATISTICKIH%20TERITORIJALNIH%20JEDINICA%20latinica.pdf</w:t>
        </w:r>
      </w:hyperlink>
      <w:r w:rsidRPr="00744986">
        <w:rPr>
          <w:sz w:val="20"/>
          <w:szCs w:val="20"/>
        </w:rPr>
        <w:t xml:space="preserve"> Last accessed January 2014</w:t>
      </w:r>
      <w:r>
        <w:rPr>
          <w:sz w:val="20"/>
          <w:szCs w:val="20"/>
        </w:rPr>
        <w:t>.</w:t>
      </w:r>
    </w:p>
  </w:footnote>
  <w:footnote w:id="4">
    <w:p w:rsidR="001D554E" w:rsidRPr="00744986" w:rsidRDefault="001D554E" w:rsidP="00744986">
      <w:pPr>
        <w:pStyle w:val="FootnoteText"/>
        <w:spacing w:after="0" w:line="240" w:lineRule="auto"/>
        <w:rPr>
          <w:sz w:val="20"/>
          <w:szCs w:val="20"/>
          <w:lang w:val="fr-FR"/>
        </w:rPr>
      </w:pPr>
      <w:r w:rsidRPr="00744986">
        <w:rPr>
          <w:rStyle w:val="FootnoteReference"/>
          <w:sz w:val="20"/>
          <w:szCs w:val="20"/>
        </w:rPr>
        <w:footnoteRef/>
      </w:r>
      <w:r w:rsidRPr="00744986">
        <w:rPr>
          <w:sz w:val="20"/>
          <w:szCs w:val="20"/>
          <w:lang w:val="fr-FR"/>
        </w:rPr>
        <w:t xml:space="preserve"> NIS Serbian Census 2011.</w:t>
      </w:r>
    </w:p>
  </w:footnote>
  <w:footnote w:id="5">
    <w:p w:rsidR="001D554E" w:rsidRPr="00744986" w:rsidRDefault="001D554E" w:rsidP="00744986">
      <w:pPr>
        <w:pStyle w:val="FootnoteText"/>
        <w:spacing w:after="0" w:line="240" w:lineRule="auto"/>
        <w:rPr>
          <w:sz w:val="20"/>
          <w:szCs w:val="20"/>
          <w:lang w:val="fr-FR"/>
        </w:rPr>
      </w:pPr>
      <w:r w:rsidRPr="00744986">
        <w:rPr>
          <w:rStyle w:val="FootnoteReference"/>
          <w:sz w:val="20"/>
          <w:szCs w:val="20"/>
        </w:rPr>
        <w:footnoteRef/>
      </w:r>
      <w:r w:rsidRPr="00744986">
        <w:rPr>
          <w:sz w:val="20"/>
          <w:szCs w:val="20"/>
          <w:lang w:val="fr-FR"/>
        </w:rPr>
        <w:t xml:space="preserve"> NIS Serbia Population Census 2011. NIS Romania, Population Census 2011</w:t>
      </w:r>
      <w:r>
        <w:rPr>
          <w:sz w:val="20"/>
          <w:szCs w:val="20"/>
          <w:lang w:val="fr-FR"/>
        </w:rPr>
        <w:t>.</w:t>
      </w:r>
    </w:p>
  </w:footnote>
  <w:footnote w:id="6">
    <w:p w:rsidR="001D554E" w:rsidRPr="00744986" w:rsidRDefault="001D554E" w:rsidP="00744986">
      <w:pPr>
        <w:spacing w:after="0" w:line="240" w:lineRule="auto"/>
        <w:rPr>
          <w:sz w:val="20"/>
          <w:szCs w:val="20"/>
          <w:lang w:val="fr-FR"/>
        </w:rPr>
      </w:pPr>
      <w:r w:rsidRPr="00744986">
        <w:rPr>
          <w:rStyle w:val="FootnoteReference"/>
          <w:sz w:val="20"/>
          <w:szCs w:val="20"/>
        </w:rPr>
        <w:footnoteRef/>
      </w:r>
      <w:r w:rsidRPr="00744986">
        <w:rPr>
          <w:rFonts w:cs="MyriadPro-LightIt"/>
          <w:sz w:val="20"/>
          <w:szCs w:val="20"/>
          <w:lang w:val="fr-FR" w:eastAsia="it-IT"/>
        </w:rPr>
        <w:t xml:space="preserve">Eurostat Urban-rural typologies </w:t>
      </w:r>
      <w:hyperlink r:id="rId4" w:history="1">
        <w:r w:rsidRPr="00A4113E">
          <w:rPr>
            <w:rStyle w:val="Hyperlink"/>
            <w:rFonts w:cs="MyriadPro-LightIt"/>
            <w:sz w:val="20"/>
            <w:szCs w:val="20"/>
            <w:lang w:val="fr-FR" w:eastAsia="it-IT"/>
          </w:rPr>
          <w:t>http://epp.eurostat.ec.europa.eu/statistics_explained/index.php/Urban-rural_typology</w:t>
        </w:r>
      </w:hyperlink>
    </w:p>
  </w:footnote>
  <w:footnote w:id="7">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For Serbia, among other studies, see: Natalija Bogdanov, David Meredit, Sophia Efstratoglou A typology of rural areas in Serbia. Economic annals Faculty of Economics Vol 177 DOI:10.2298/EKA08177007B</w:t>
      </w:r>
    </w:p>
  </w:footnote>
  <w:footnote w:id="8">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rPr>
        <w:t xml:space="preserve"> In 2009, the OECD extended its classification to include the remoteness dimension. It followed the approach developed by Dijkstra and Poelman </w:t>
      </w:r>
    </w:p>
  </w:footnote>
  <w:footnote w:id="9">
    <w:p w:rsidR="001D554E" w:rsidRPr="00744986" w:rsidRDefault="001D554E" w:rsidP="00744986">
      <w:pPr>
        <w:spacing w:after="0" w:line="240" w:lineRule="auto"/>
        <w:rPr>
          <w:sz w:val="20"/>
          <w:szCs w:val="20"/>
        </w:rPr>
      </w:pPr>
      <w:r w:rsidRPr="00744986">
        <w:rPr>
          <w:rStyle w:val="FootnoteReference"/>
          <w:sz w:val="20"/>
          <w:szCs w:val="20"/>
        </w:rPr>
        <w:footnoteRef/>
      </w:r>
      <w:r w:rsidRPr="00744986">
        <w:rPr>
          <w:sz w:val="20"/>
          <w:szCs w:val="20"/>
        </w:rPr>
        <w:t xml:space="preserve"> </w:t>
      </w:r>
      <w:r w:rsidRPr="00744986">
        <w:rPr>
          <w:rFonts w:cs="MyriadPro-LightIt"/>
          <w:i/>
          <w:iCs/>
          <w:sz w:val="20"/>
          <w:szCs w:val="20"/>
          <w:lang w:eastAsia="it-IT"/>
        </w:rPr>
        <w:t>Lewis Dijkstra and Hugo Poelman</w:t>
      </w:r>
      <w:r w:rsidRPr="00744986">
        <w:rPr>
          <w:sz w:val="20"/>
          <w:szCs w:val="20"/>
        </w:rPr>
        <w:t xml:space="preserve"> Regional Typologies a compilation Regional focus 1/2011 DG Regio</w:t>
      </w:r>
    </w:p>
  </w:footnote>
  <w:footnote w:id="10">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lang w:val="en-US"/>
        </w:rPr>
        <w:t xml:space="preserve"> NIS Romania Population census 2011</w:t>
      </w:r>
    </w:p>
  </w:footnote>
  <w:footnote w:id="11">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lang w:val="en-US"/>
        </w:rPr>
        <w:t xml:space="preserve"> The Importance Of Agriculture Recovery For The Economic growth In Timiș County Nicoleta Mateoc-Sîrb, Teodor Mateoc, Camelia Mănescu, Diana Blaga, Cristian Matiaş</w:t>
      </w:r>
      <w:r>
        <w:rPr>
          <w:sz w:val="20"/>
          <w:szCs w:val="20"/>
          <w:lang w:val="en-US"/>
        </w:rPr>
        <w:t>.</w:t>
      </w:r>
    </w:p>
  </w:footnote>
  <w:footnote w:id="12">
    <w:p w:rsidR="001D554E" w:rsidRPr="00BB1745" w:rsidRDefault="001D554E" w:rsidP="00744986">
      <w:pPr>
        <w:pStyle w:val="FootnoteText"/>
        <w:spacing w:after="0" w:line="240" w:lineRule="auto"/>
        <w:rPr>
          <w:sz w:val="20"/>
          <w:szCs w:val="20"/>
          <w:lang w:val="it-IT"/>
        </w:rPr>
      </w:pPr>
      <w:r w:rsidRPr="00744986">
        <w:rPr>
          <w:rStyle w:val="FootnoteReference"/>
          <w:sz w:val="20"/>
          <w:szCs w:val="20"/>
        </w:rPr>
        <w:footnoteRef/>
      </w:r>
      <w:r w:rsidRPr="00744986">
        <w:rPr>
          <w:sz w:val="20"/>
          <w:szCs w:val="20"/>
        </w:rPr>
        <w:t xml:space="preserve"> The importance of agriculture recovery for the economic growth in timis county nicoleta mateoc-sirb-and others.  </w:t>
      </w:r>
      <w:r w:rsidRPr="00BB1745">
        <w:rPr>
          <w:sz w:val="20"/>
          <w:szCs w:val="20"/>
          <w:lang w:val="it-IT"/>
        </w:rPr>
        <w:t>Lucrări ştiinţifice – vol. 53, nr. 2/2010, seria agronomie.</w:t>
      </w:r>
    </w:p>
  </w:footnote>
  <w:footnote w:id="13">
    <w:p w:rsidR="001D554E" w:rsidRPr="00BB1745" w:rsidRDefault="001D554E" w:rsidP="00744986">
      <w:pPr>
        <w:pStyle w:val="FootnoteText"/>
        <w:spacing w:after="0" w:line="240" w:lineRule="auto"/>
        <w:rPr>
          <w:sz w:val="20"/>
          <w:szCs w:val="20"/>
          <w:lang w:val="it-IT"/>
        </w:rPr>
      </w:pPr>
      <w:r w:rsidRPr="00744986">
        <w:rPr>
          <w:rStyle w:val="FootnoteReference"/>
          <w:sz w:val="20"/>
          <w:szCs w:val="20"/>
        </w:rPr>
        <w:footnoteRef/>
      </w:r>
      <w:r w:rsidRPr="00BB1745">
        <w:rPr>
          <w:sz w:val="20"/>
          <w:szCs w:val="20"/>
          <w:lang w:val="it-IT"/>
        </w:rPr>
        <w:t xml:space="preserve"> </w:t>
      </w:r>
      <w:hyperlink r:id="rId5" w:history="1">
        <w:r w:rsidRPr="00BB1745">
          <w:rPr>
            <w:rStyle w:val="Hyperlink"/>
            <w:rFonts w:cs="Trebuchet MS"/>
            <w:sz w:val="20"/>
            <w:szCs w:val="20"/>
            <w:lang w:val="it-IT"/>
          </w:rPr>
          <w:t>http://www.renewablefacts.com/country/romania/hydro</w:t>
        </w:r>
      </w:hyperlink>
    </w:p>
  </w:footnote>
  <w:footnote w:id="14">
    <w:p w:rsidR="001D554E" w:rsidRPr="00BB1745" w:rsidRDefault="001D554E" w:rsidP="00744986">
      <w:pPr>
        <w:pStyle w:val="FootnoteText"/>
        <w:spacing w:after="0" w:line="240" w:lineRule="auto"/>
        <w:rPr>
          <w:sz w:val="20"/>
          <w:szCs w:val="20"/>
          <w:lang w:val="it-IT"/>
        </w:rPr>
      </w:pPr>
      <w:r w:rsidRPr="00744986">
        <w:rPr>
          <w:rStyle w:val="FootnoteReference"/>
          <w:sz w:val="20"/>
          <w:szCs w:val="20"/>
        </w:rPr>
        <w:footnoteRef/>
      </w:r>
      <w:r w:rsidRPr="00BB1745">
        <w:rPr>
          <w:sz w:val="20"/>
          <w:szCs w:val="20"/>
          <w:lang w:val="it-IT"/>
        </w:rPr>
        <w:t xml:space="preserve"> </w:t>
      </w:r>
      <w:hyperlink r:id="rId6" w:history="1">
        <w:r w:rsidRPr="00BB1745">
          <w:rPr>
            <w:rStyle w:val="Hyperlink"/>
            <w:rFonts w:cs="Trebuchet MS"/>
            <w:sz w:val="20"/>
            <w:szCs w:val="20"/>
            <w:lang w:val="it-IT"/>
          </w:rPr>
          <w:t>http://www.renewablefacts.com/country/serbia/hydro</w:t>
        </w:r>
      </w:hyperlink>
    </w:p>
  </w:footnote>
  <w:footnote w:id="15">
    <w:p w:rsidR="001D554E" w:rsidRPr="00BB1745" w:rsidRDefault="001D554E" w:rsidP="00744986">
      <w:pPr>
        <w:pStyle w:val="FootnoteText"/>
        <w:spacing w:after="0" w:line="240" w:lineRule="auto"/>
        <w:rPr>
          <w:sz w:val="20"/>
          <w:szCs w:val="20"/>
          <w:lang w:val="it-IT"/>
        </w:rPr>
      </w:pPr>
      <w:r w:rsidRPr="00744986">
        <w:rPr>
          <w:rStyle w:val="FootnoteReference"/>
          <w:sz w:val="20"/>
          <w:szCs w:val="20"/>
        </w:rPr>
        <w:footnoteRef/>
      </w:r>
      <w:r w:rsidRPr="00BB1745">
        <w:rPr>
          <w:sz w:val="20"/>
          <w:szCs w:val="20"/>
          <w:lang w:val="it-IT"/>
        </w:rPr>
        <w:t xml:space="preserve"> </w:t>
      </w:r>
      <w:hyperlink r:id="rId7" w:history="1">
        <w:r w:rsidRPr="00BB1745">
          <w:rPr>
            <w:rStyle w:val="Hyperlink"/>
            <w:rFonts w:cs="Trebuchet MS"/>
            <w:sz w:val="20"/>
            <w:szCs w:val="20"/>
            <w:lang w:val="it-IT"/>
          </w:rPr>
          <w:t>http://www.irena.org/DocumentDownloads/events/2013/December/Background_Paper-C.pdf</w:t>
        </w:r>
      </w:hyperlink>
    </w:p>
  </w:footnote>
  <w:footnote w:id="16">
    <w:p w:rsidR="001D554E" w:rsidRPr="00BB1745" w:rsidRDefault="001D554E" w:rsidP="00A4113E">
      <w:pPr>
        <w:pStyle w:val="FootnoteText"/>
        <w:spacing w:after="0" w:line="240" w:lineRule="auto"/>
        <w:rPr>
          <w:sz w:val="20"/>
          <w:szCs w:val="20"/>
          <w:lang w:val="it-IT"/>
        </w:rPr>
      </w:pPr>
      <w:r w:rsidRPr="00744986">
        <w:rPr>
          <w:rStyle w:val="FootnoteReference"/>
          <w:sz w:val="20"/>
          <w:szCs w:val="20"/>
        </w:rPr>
        <w:footnoteRef/>
      </w:r>
      <w:hyperlink r:id="rId8" w:history="1">
        <w:r w:rsidRPr="00BB1745">
          <w:rPr>
            <w:rStyle w:val="Hyperlink"/>
            <w:rFonts w:cs="Trebuchet MS"/>
            <w:sz w:val="20"/>
            <w:szCs w:val="20"/>
            <w:lang w:val="it-IT"/>
          </w:rPr>
          <w:t>http://www.geni.org/globalenergy/library/renewable-energy-resources/world/Europe/wind-europe/wind-serbia.shtml</w:t>
        </w:r>
      </w:hyperlink>
      <w:r w:rsidRPr="00BB1745">
        <w:rPr>
          <w:sz w:val="20"/>
          <w:szCs w:val="20"/>
          <w:lang w:val="it-IT"/>
        </w:rPr>
        <w:t xml:space="preserve"> </w:t>
      </w:r>
    </w:p>
  </w:footnote>
  <w:footnote w:id="17">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German Agency for Technical Cooperation</w:t>
      </w:r>
      <w:r>
        <w:rPr>
          <w:sz w:val="20"/>
          <w:szCs w:val="20"/>
        </w:rPr>
        <w:t>.</w:t>
      </w:r>
    </w:p>
  </w:footnote>
  <w:footnote w:id="18">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rPr>
        <w:t xml:space="preserve"> </w:t>
      </w:r>
      <w:r w:rsidRPr="00744986">
        <w:rPr>
          <w:sz w:val="20"/>
          <w:szCs w:val="20"/>
          <w:lang w:val="en-US"/>
        </w:rPr>
        <w:t>Data from National Council of regional development, Serbia and Romania, NIS Serbia and Romania</w:t>
      </w:r>
      <w:r>
        <w:rPr>
          <w:sz w:val="20"/>
          <w:szCs w:val="20"/>
          <w:lang w:val="en-US"/>
        </w:rPr>
        <w:t>.</w:t>
      </w:r>
    </w:p>
  </w:footnote>
  <w:footnote w:id="19">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w:t>
      </w:r>
      <w:r w:rsidRPr="00744986">
        <w:rPr>
          <w:sz w:val="20"/>
          <w:szCs w:val="20"/>
        </w:rPr>
        <w:tab/>
        <w:t>Sources from: Ministry of Finance and Economy, Ministry of Regional Development and Local Self-Government National Agency for Regional Development Romania</w:t>
      </w:r>
    </w:p>
  </w:footnote>
  <w:footnote w:id="20">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rPr>
        <w:t xml:space="preserve"> Report: The situation of regional investments 2011 and 2012, Romania.</w:t>
      </w:r>
    </w:p>
  </w:footnote>
  <w:footnote w:id="21">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See the case of </w:t>
      </w:r>
      <w:r w:rsidRPr="00744986">
        <w:rPr>
          <w:sz w:val="20"/>
          <w:szCs w:val="20"/>
          <w:lang w:eastAsia="it-IT"/>
        </w:rPr>
        <w:t>Hemofarm in Vrsac</w:t>
      </w:r>
      <w:r>
        <w:rPr>
          <w:sz w:val="20"/>
          <w:szCs w:val="20"/>
          <w:lang w:eastAsia="it-IT"/>
        </w:rPr>
        <w:t>.</w:t>
      </w:r>
    </w:p>
  </w:footnote>
  <w:footnote w:id="22">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rPr>
        <w:t xml:space="preserve"> Ministry of finance of Republic of Serbia, free zones administration. </w:t>
      </w:r>
      <w:hyperlink r:id="rId9" w:history="1">
        <w:r w:rsidRPr="00744986">
          <w:rPr>
            <w:rStyle w:val="Hyperlink"/>
            <w:rFonts w:cs="Trebuchet MS"/>
            <w:sz w:val="20"/>
            <w:szCs w:val="20"/>
          </w:rPr>
          <w:t>http://www.usz.gov.rs/eng/index.php</w:t>
        </w:r>
      </w:hyperlink>
      <w:r w:rsidRPr="00744986">
        <w:rPr>
          <w:sz w:val="20"/>
          <w:szCs w:val="20"/>
        </w:rPr>
        <w:t xml:space="preserve"> last accessed on 15th of January 2014</w:t>
      </w:r>
      <w:r>
        <w:rPr>
          <w:sz w:val="20"/>
          <w:szCs w:val="20"/>
        </w:rPr>
        <w:t>.</w:t>
      </w:r>
    </w:p>
  </w:footnote>
  <w:footnote w:id="23">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rPr>
        <w:t xml:space="preserve"> </w:t>
      </w:r>
      <w:hyperlink r:id="rId10" w:history="1">
        <w:r w:rsidRPr="00744986">
          <w:rPr>
            <w:rStyle w:val="Hyperlink"/>
            <w:rFonts w:cs="Trebuchet MS"/>
            <w:sz w:val="20"/>
            <w:szCs w:val="20"/>
          </w:rPr>
          <w:t>http://www.investinserbia.biz</w:t>
        </w:r>
      </w:hyperlink>
      <w:r w:rsidRPr="00744986">
        <w:rPr>
          <w:sz w:val="20"/>
          <w:szCs w:val="20"/>
        </w:rPr>
        <w:t xml:space="preserve"> last accessed on 15</w:t>
      </w:r>
      <w:r w:rsidRPr="00744986">
        <w:rPr>
          <w:sz w:val="20"/>
          <w:szCs w:val="20"/>
          <w:vertAlign w:val="superscript"/>
        </w:rPr>
        <w:t>th</w:t>
      </w:r>
      <w:r w:rsidRPr="00744986">
        <w:rPr>
          <w:sz w:val="20"/>
          <w:szCs w:val="20"/>
        </w:rPr>
        <w:t xml:space="preserve"> January 2014</w:t>
      </w:r>
    </w:p>
  </w:footnote>
  <w:footnote w:id="24">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NIS Serbia and Romania</w:t>
      </w:r>
    </w:p>
  </w:footnote>
  <w:footnote w:id="25">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Pr>
          <w:sz w:val="20"/>
          <w:szCs w:val="20"/>
        </w:rPr>
        <w:t xml:space="preserve"> </w:t>
      </w:r>
      <w:hyperlink r:id="rId11" w:history="1">
        <w:r w:rsidRPr="00393059">
          <w:rPr>
            <w:rStyle w:val="Hyperlink"/>
            <w:rFonts w:cs="Trebuchet MS"/>
            <w:sz w:val="20"/>
            <w:szCs w:val="20"/>
          </w:rPr>
          <w:t>http://epp.eurostat.ec.europa.eu/statistics_explained/index.php/Glossary:EU _statistics_on_income _and_living_conditions</w:t>
        </w:r>
      </w:hyperlink>
      <w:r>
        <w:rPr>
          <w:sz w:val="20"/>
          <w:szCs w:val="20"/>
        </w:rPr>
        <w:t xml:space="preserve"> </w:t>
      </w:r>
      <w:r w:rsidRPr="00744986">
        <w:rPr>
          <w:sz w:val="20"/>
          <w:szCs w:val="20"/>
        </w:rPr>
        <w:t>(EU-SILC)</w:t>
      </w:r>
    </w:p>
  </w:footnote>
  <w:footnote w:id="26">
    <w:p w:rsidR="001D554E" w:rsidRPr="00744986" w:rsidRDefault="001D554E" w:rsidP="00744986">
      <w:pPr>
        <w:spacing w:after="0" w:line="240" w:lineRule="auto"/>
        <w:rPr>
          <w:sz w:val="20"/>
          <w:szCs w:val="20"/>
        </w:rPr>
      </w:pPr>
      <w:r w:rsidRPr="00744986">
        <w:rPr>
          <w:rStyle w:val="FootnoteReference"/>
          <w:sz w:val="20"/>
          <w:szCs w:val="20"/>
        </w:rPr>
        <w:footnoteRef/>
      </w:r>
      <w:r w:rsidRPr="00744986">
        <w:rPr>
          <w:sz w:val="20"/>
          <w:szCs w:val="20"/>
        </w:rPr>
        <w:t xml:space="preserve"> </w:t>
      </w:r>
      <w:hyperlink r:id="rId12" w:history="1">
        <w:r w:rsidRPr="00393059">
          <w:rPr>
            <w:rStyle w:val="Hyperlink"/>
            <w:rFonts w:cs="Trebuchet MS"/>
            <w:sz w:val="20"/>
            <w:szCs w:val="20"/>
          </w:rPr>
          <w:t>http://sedac.ciesin.columbia.edu/ povmap/downloads/ methods/ Harta_ saraciei_in _Romania.pdf</w:t>
        </w:r>
      </w:hyperlink>
    </w:p>
  </w:footnote>
  <w:footnote w:id="27">
    <w:p w:rsidR="001D554E" w:rsidRPr="00744986" w:rsidRDefault="001D554E" w:rsidP="00744986">
      <w:pPr>
        <w:pStyle w:val="FootnoteText"/>
        <w:spacing w:after="0" w:line="240" w:lineRule="auto"/>
        <w:rPr>
          <w:sz w:val="20"/>
          <w:szCs w:val="20"/>
          <w:lang w:val="en-US"/>
        </w:rPr>
      </w:pPr>
      <w:r w:rsidRPr="00744986">
        <w:rPr>
          <w:sz w:val="20"/>
          <w:szCs w:val="20"/>
        </w:rPr>
        <w:footnoteRef/>
      </w:r>
      <w:r w:rsidRPr="00744986">
        <w:rPr>
          <w:sz w:val="20"/>
          <w:szCs w:val="20"/>
        </w:rPr>
        <w:t xml:space="preserve"> Monitoring Social Inclusion in Serbia Overview and Current Status of Social Inclusion in Serbia Based on Monitoring European and National Indicators 2006 – 2012 Second amended edition Belgrade, October 2012. Social Inclusion and Poverty Reduction Unit and Republic Statistical Office</w:t>
      </w:r>
    </w:p>
  </w:footnote>
  <w:footnote w:id="28">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In the two countries the classification system for the variable “personnel in the health sector) is not identical, therefore the comparison is not possible. </w:t>
      </w:r>
    </w:p>
  </w:footnote>
  <w:footnote w:id="29">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The indicators is calculated as the number of doctors per 100 inhabitants and per 100 inhabitants older then 65, normalized by the average of the same indicator in the eligible area.</w:t>
      </w:r>
    </w:p>
  </w:footnote>
  <w:footnote w:id="30">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REGULATION (EU) No 1316/2013, 1315/2013 Of The European Parliament And Of The Council of 11 December 2013</w:t>
      </w:r>
    </w:p>
  </w:footnote>
  <w:footnote w:id="31">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TEN-T Core Network Corridors (Regulation (EU) No 1316/2013 O.J. L348 - 20/12/2013.</w:t>
      </w:r>
    </w:p>
  </w:footnote>
  <w:footnote w:id="32">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w:t>
      </w:r>
      <w:hyperlink r:id="rId13" w:history="1">
        <w:r w:rsidRPr="00744986">
          <w:rPr>
            <w:rStyle w:val="Hyperlink"/>
            <w:rFonts w:cs="Trebuchet MS"/>
            <w:sz w:val="20"/>
            <w:szCs w:val="20"/>
          </w:rPr>
          <w:t>http://ec.europa.eu/transport/infrastructure/ tentec/tentec-portal/site/en/maps.html</w:t>
        </w:r>
      </w:hyperlink>
      <w:r w:rsidRPr="00744986">
        <w:rPr>
          <w:sz w:val="20"/>
          <w:szCs w:val="20"/>
        </w:rPr>
        <w:t xml:space="preserve"> Last accessed March 2014</w:t>
      </w:r>
    </w:p>
  </w:footnote>
  <w:footnote w:id="33">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Usage of information and communication technologies in the Republic of Serbia,</w:t>
      </w:r>
    </w:p>
    <w:p w:rsidR="001D554E" w:rsidRPr="00744986" w:rsidRDefault="001D554E" w:rsidP="00744986">
      <w:pPr>
        <w:pStyle w:val="FootnoteText"/>
        <w:spacing w:after="0" w:line="240" w:lineRule="auto"/>
        <w:rPr>
          <w:sz w:val="20"/>
          <w:szCs w:val="20"/>
        </w:rPr>
      </w:pPr>
      <w:r w:rsidRPr="00744986">
        <w:rPr>
          <w:sz w:val="20"/>
          <w:szCs w:val="20"/>
        </w:rPr>
        <w:t>2011 NIS</w:t>
      </w:r>
    </w:p>
  </w:footnote>
  <w:footnote w:id="34">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UN’s International Telecommunications Union ITU data for Serbia 2010 Romania 2012</w:t>
      </w:r>
      <w:r>
        <w:rPr>
          <w:sz w:val="20"/>
          <w:szCs w:val="20"/>
        </w:rPr>
        <w:t>.</w:t>
      </w:r>
    </w:p>
  </w:footnote>
  <w:footnote w:id="35">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According to ITU estimations in Romania in 2012 the percentage is lower, 44%</w:t>
      </w:r>
      <w:r>
        <w:rPr>
          <w:sz w:val="20"/>
          <w:szCs w:val="20"/>
        </w:rPr>
        <w:t>.</w:t>
      </w:r>
    </w:p>
  </w:footnote>
  <w:footnote w:id="36">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w:t>
      </w:r>
      <w:hyperlink r:id="rId14" w:history="1">
        <w:r w:rsidRPr="00393059">
          <w:rPr>
            <w:rStyle w:val="Hyperlink"/>
            <w:rFonts w:cs="Trebuchet MS"/>
            <w:sz w:val="20"/>
            <w:szCs w:val="20"/>
          </w:rPr>
          <w:t>http://epp.eurostat.ec.europa.eu/ cache/ITY_OFFPUB/KS-SF-12-050/EN/KS-SF-12-050-EN.PDF</w:t>
        </w:r>
      </w:hyperlink>
    </w:p>
  </w:footnote>
  <w:footnote w:id="37">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w:t>
      </w:r>
      <w:hyperlink r:id="rId15" w:history="1">
        <w:r w:rsidRPr="00393059">
          <w:rPr>
            <w:rStyle w:val="Hyperlink"/>
            <w:rFonts w:cs="Trebuchet MS"/>
            <w:sz w:val="20"/>
            <w:szCs w:val="20"/>
          </w:rPr>
          <w:t>http://www.netindex.com/upload/2,225/Serbia/</w:t>
        </w:r>
      </w:hyperlink>
    </w:p>
  </w:footnote>
  <w:footnote w:id="38">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w:t>
      </w:r>
      <w:hyperlink r:id="rId16" w:history="1">
        <w:r w:rsidRPr="00744986">
          <w:rPr>
            <w:rStyle w:val="Hyperlink"/>
            <w:rFonts w:eastAsiaTheme="majorEastAsia"/>
            <w:sz w:val="20"/>
            <w:szCs w:val="20"/>
          </w:rPr>
          <w:t>www.kikinda-turizam.rs</w:t>
        </w:r>
      </w:hyperlink>
      <w:r w:rsidRPr="00744986">
        <w:rPr>
          <w:sz w:val="20"/>
          <w:szCs w:val="20"/>
        </w:rPr>
        <w:t xml:space="preserve"> </w:t>
      </w:r>
    </w:p>
  </w:footnote>
  <w:footnote w:id="39">
    <w:p w:rsidR="001D554E" w:rsidRPr="00744986" w:rsidRDefault="001D554E" w:rsidP="00744986">
      <w:pPr>
        <w:spacing w:after="0" w:line="240" w:lineRule="auto"/>
        <w:rPr>
          <w:sz w:val="20"/>
          <w:szCs w:val="20"/>
        </w:rPr>
      </w:pPr>
      <w:r w:rsidRPr="00744986">
        <w:rPr>
          <w:rStyle w:val="FootnoteReference"/>
          <w:sz w:val="20"/>
          <w:szCs w:val="20"/>
        </w:rPr>
        <w:footnoteRef/>
      </w:r>
      <w:hyperlink r:id="rId17" w:history="1">
        <w:r w:rsidRPr="00744986">
          <w:rPr>
            <w:rStyle w:val="Hyperlink"/>
            <w:rFonts w:eastAsiaTheme="majorEastAsia"/>
            <w:sz w:val="20"/>
            <w:szCs w:val="20"/>
          </w:rPr>
          <w:t>http://virtuelnimuzejdunava.rs/serbia/natural-heritage/special-nature-reserves/karadjordjevo.454.html</w:t>
        </w:r>
      </w:hyperlink>
    </w:p>
  </w:footnote>
  <w:footnote w:id="40">
    <w:p w:rsidR="001D554E" w:rsidRPr="00744986" w:rsidRDefault="001D554E" w:rsidP="00744986">
      <w:pPr>
        <w:spacing w:after="0" w:line="240" w:lineRule="auto"/>
        <w:rPr>
          <w:sz w:val="20"/>
          <w:szCs w:val="20"/>
        </w:rPr>
      </w:pPr>
      <w:r w:rsidRPr="00744986">
        <w:rPr>
          <w:rStyle w:val="FootnoteReference"/>
          <w:sz w:val="20"/>
          <w:szCs w:val="20"/>
        </w:rPr>
        <w:footnoteRef/>
      </w:r>
      <w:hyperlink r:id="rId18" w:history="1">
        <w:r w:rsidRPr="00744986">
          <w:rPr>
            <w:rStyle w:val="Hyperlink"/>
            <w:rFonts w:eastAsiaTheme="majorEastAsia"/>
            <w:sz w:val="20"/>
            <w:szCs w:val="20"/>
          </w:rPr>
          <w:t>http://virtuelnimuzejdunava.rs/serbia/cultural-heritage/fortresses/kladovo-fortress-(fetislam).369.html</w:t>
        </w:r>
      </w:hyperlink>
    </w:p>
  </w:footnote>
  <w:footnote w:id="41">
    <w:p w:rsidR="001D554E" w:rsidRPr="00744986" w:rsidRDefault="001D554E" w:rsidP="00744986">
      <w:pPr>
        <w:spacing w:after="0" w:line="240" w:lineRule="auto"/>
        <w:rPr>
          <w:sz w:val="20"/>
          <w:szCs w:val="20"/>
        </w:rPr>
      </w:pPr>
      <w:r w:rsidRPr="00744986">
        <w:rPr>
          <w:rStyle w:val="FootnoteReference"/>
          <w:sz w:val="20"/>
          <w:szCs w:val="20"/>
        </w:rPr>
        <w:footnoteRef/>
      </w:r>
      <w:hyperlink r:id="rId19" w:history="1">
        <w:r w:rsidRPr="00744986">
          <w:rPr>
            <w:rStyle w:val="Hyperlink"/>
            <w:rFonts w:eastAsiaTheme="majorEastAsia"/>
            <w:sz w:val="20"/>
            <w:szCs w:val="20"/>
          </w:rPr>
          <w:t>http://virtuelnimuzejdunava.rs/serbia/cultural-heritage/archaeological-map-of-danube/trajan%E2%80%99s-plaque--tabula-traiana-.trajanova-tabla.355.html</w:t>
        </w:r>
      </w:hyperlink>
    </w:p>
  </w:footnote>
  <w:footnote w:id="42">
    <w:p w:rsidR="001D554E" w:rsidRPr="00744986" w:rsidRDefault="001D554E" w:rsidP="00744986">
      <w:pPr>
        <w:spacing w:after="0" w:line="240" w:lineRule="auto"/>
        <w:rPr>
          <w:sz w:val="20"/>
          <w:szCs w:val="20"/>
        </w:rPr>
      </w:pPr>
      <w:r w:rsidRPr="00744986">
        <w:rPr>
          <w:rStyle w:val="FootnoteReference"/>
          <w:sz w:val="20"/>
          <w:szCs w:val="20"/>
        </w:rPr>
        <w:footnoteRef/>
      </w:r>
      <w:r w:rsidRPr="00744986">
        <w:rPr>
          <w:sz w:val="20"/>
          <w:szCs w:val="20"/>
        </w:rPr>
        <w:t xml:space="preserve"> </w:t>
      </w:r>
      <w:hyperlink r:id="rId20" w:history="1">
        <w:r w:rsidRPr="00744986">
          <w:rPr>
            <w:rStyle w:val="Hyperlink"/>
            <w:rFonts w:eastAsiaTheme="majorEastAsia"/>
            <w:sz w:val="20"/>
            <w:szCs w:val="20"/>
          </w:rPr>
          <w:t>http://whc.unesco.org/en/tentativelists/5537/</w:t>
        </w:r>
      </w:hyperlink>
    </w:p>
  </w:footnote>
  <w:footnote w:id="43">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ICPDR (2009), Danube River Basin Management Plan, Annex I Maps, Map 18 Urban Wastewater Discharges Reference Situation 2006 and Map 19 Urban Wastewater Discharges Baseline Scenario 2015. </w:t>
      </w:r>
    </w:p>
  </w:footnote>
  <w:footnote w:id="44">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ICPDR, ibid</w:t>
      </w:r>
    </w:p>
  </w:footnote>
  <w:footnote w:id="45">
    <w:p w:rsidR="001D554E" w:rsidRPr="00744986" w:rsidRDefault="001D554E" w:rsidP="00744986">
      <w:pPr>
        <w:pStyle w:val="FootnoteText"/>
        <w:spacing w:after="0" w:line="240" w:lineRule="auto"/>
        <w:jc w:val="left"/>
        <w:rPr>
          <w:sz w:val="20"/>
          <w:szCs w:val="20"/>
          <w:lang w:val="en-US"/>
        </w:rPr>
      </w:pPr>
      <w:r w:rsidRPr="00744986">
        <w:rPr>
          <w:rStyle w:val="FootnoteReference"/>
          <w:sz w:val="20"/>
          <w:szCs w:val="20"/>
        </w:rPr>
        <w:footnoteRef/>
      </w:r>
      <w:r w:rsidRPr="00744986">
        <w:rPr>
          <w:sz w:val="20"/>
          <w:szCs w:val="20"/>
          <w:lang w:val="en-US"/>
        </w:rPr>
        <w:t>Source:</w:t>
      </w:r>
    </w:p>
    <w:p w:rsidR="001D554E" w:rsidRPr="00744986" w:rsidRDefault="001D554E" w:rsidP="00744986">
      <w:pPr>
        <w:pStyle w:val="FootnoteText"/>
        <w:spacing w:after="0" w:line="240" w:lineRule="auto"/>
        <w:jc w:val="left"/>
        <w:rPr>
          <w:sz w:val="20"/>
          <w:szCs w:val="20"/>
          <w:lang w:val="en-US"/>
        </w:rPr>
      </w:pPr>
      <w:r w:rsidRPr="00744986">
        <w:rPr>
          <w:sz w:val="20"/>
          <w:szCs w:val="20"/>
          <w:lang w:val="en-US"/>
        </w:rPr>
        <w:t xml:space="preserve"> </w:t>
      </w:r>
      <w:hyperlink r:id="rId21" w:history="1">
        <w:r w:rsidRPr="00744986">
          <w:rPr>
            <w:rStyle w:val="Hyperlink"/>
            <w:rFonts w:eastAsiaTheme="majorEastAsia"/>
            <w:sz w:val="20"/>
            <w:szCs w:val="20"/>
            <w:lang w:val="en-US"/>
          </w:rPr>
          <w:t>http://marketing-pr.fon.rs/webroot/uploads/Gradovi%20i%20opstine%202011%20G20112005.pdf</w:t>
        </w:r>
      </w:hyperlink>
    </w:p>
    <w:p w:rsidR="001D554E" w:rsidRPr="005A52D9" w:rsidRDefault="001D554E" w:rsidP="00744986">
      <w:pPr>
        <w:pStyle w:val="FootnoteText"/>
        <w:spacing w:after="0" w:line="240" w:lineRule="auto"/>
        <w:jc w:val="left"/>
        <w:rPr>
          <w:sz w:val="20"/>
          <w:szCs w:val="20"/>
          <w:lang w:val="fr-FR"/>
        </w:rPr>
      </w:pPr>
      <w:r w:rsidRPr="005A52D9">
        <w:rPr>
          <w:sz w:val="20"/>
          <w:szCs w:val="20"/>
          <w:lang w:val="fr-FR"/>
        </w:rPr>
        <w:t>Table: 11-1 (chapter 11)</w:t>
      </w:r>
    </w:p>
  </w:footnote>
  <w:footnote w:id="46">
    <w:p w:rsidR="001D554E" w:rsidRPr="005A52D9" w:rsidRDefault="001D554E" w:rsidP="00744986">
      <w:pPr>
        <w:pStyle w:val="FootnoteText"/>
        <w:spacing w:after="0" w:line="240" w:lineRule="auto"/>
        <w:rPr>
          <w:sz w:val="20"/>
          <w:szCs w:val="20"/>
          <w:lang w:val="fr-FR"/>
        </w:rPr>
      </w:pPr>
      <w:r w:rsidRPr="00744986">
        <w:rPr>
          <w:rStyle w:val="FootnoteReference"/>
          <w:sz w:val="20"/>
          <w:szCs w:val="20"/>
        </w:rPr>
        <w:footnoteRef/>
      </w:r>
      <w:hyperlink r:id="rId22" w:history="1">
        <w:r w:rsidRPr="005A52D9">
          <w:rPr>
            <w:rStyle w:val="Hyperlink"/>
            <w:rFonts w:cs="Trebuchet MS"/>
            <w:sz w:val="20"/>
            <w:szCs w:val="20"/>
            <w:lang w:val="fr-FR"/>
          </w:rPr>
          <w:t>https://www.google.rs/url?sa=t&amp;rct=j&amp;q=&amp;esrc=s&amp;source=web&amp;cd=1&amp;cad=rja&amp;uact=8&amp;ved=0CCkQFjAA&amp;url=http%3A%2F%2Fwww.futura.edu.rs%2Fservisi%2Fmaterijali%2FEP%2520Opstine%2520Kikinda%2520final%25201.ppt&amp;ei=B8koU6m4Msj-ygPPq4LACg&amp;usg=AFQjCNGQXhliQgF76m-Kccg7BAerpPQS7g&amp;bvm=bv.62922401,d.bGQ</w:t>
        </w:r>
      </w:hyperlink>
    </w:p>
  </w:footnote>
  <w:footnote w:id="47">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ICPDR (2012), 2010 Floods in the Danube River Basin, Vienna</w:t>
      </w:r>
    </w:p>
  </w:footnote>
  <w:footnote w:id="48">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JRC (2013), Joint Research Centre — Annual Report 2012, Luxemburg</w:t>
      </w:r>
    </w:p>
  </w:footnote>
  <w:footnote w:id="49">
    <w:p w:rsidR="001D554E" w:rsidRPr="00744986" w:rsidRDefault="001D554E" w:rsidP="00744986">
      <w:pPr>
        <w:spacing w:after="0" w:line="240" w:lineRule="auto"/>
        <w:rPr>
          <w:sz w:val="20"/>
          <w:szCs w:val="20"/>
        </w:rPr>
      </w:pPr>
      <w:r w:rsidRPr="00744986">
        <w:rPr>
          <w:rStyle w:val="FootnoteReference"/>
          <w:sz w:val="20"/>
          <w:szCs w:val="20"/>
        </w:rPr>
        <w:footnoteRef/>
      </w:r>
      <w:r w:rsidRPr="00744986">
        <w:rPr>
          <w:sz w:val="20"/>
          <w:szCs w:val="20"/>
        </w:rPr>
        <w:t xml:space="preserve"> NIS Romania and Republic of Serbia timis - http://www.timis.insse.ro /cmstimis/rw/pages/statJud.ro.do for Caras severin - http://www.carasseverin. insse.ro/main.php?lang=fr&amp;pageid=519 for mehedinti - http://www.mehedinti.insse.ro /main.php?lang=fr&amp;pageid=486</w:t>
      </w:r>
    </w:p>
  </w:footnote>
  <w:footnote w:id="50">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NIS Serbia and NIS Romania</w:t>
      </w:r>
    </w:p>
  </w:footnote>
  <w:footnote w:id="51">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hyperlink r:id="rId23" w:history="1">
        <w:r w:rsidRPr="005C4AE7">
          <w:rPr>
            <w:rStyle w:val="Hyperlink"/>
            <w:rFonts w:cs="Trebuchet MS"/>
            <w:sz w:val="20"/>
            <w:szCs w:val="20"/>
          </w:rPr>
          <w:t>http://epp.eurostat.ec.europa.eu/statistics_explained/index.php/Tourism_statistics_-_occupancy _rates_in_hotels_and_similar_establishments</w:t>
        </w:r>
      </w:hyperlink>
    </w:p>
  </w:footnote>
  <w:footnote w:id="52">
    <w:p w:rsidR="001D554E" w:rsidRPr="00744986" w:rsidRDefault="001D554E" w:rsidP="00744986">
      <w:pPr>
        <w:spacing w:after="0" w:line="240" w:lineRule="auto"/>
        <w:rPr>
          <w:sz w:val="20"/>
          <w:szCs w:val="20"/>
        </w:rPr>
      </w:pPr>
      <w:r w:rsidRPr="00744986">
        <w:rPr>
          <w:rStyle w:val="FootnoteReference"/>
          <w:sz w:val="20"/>
          <w:szCs w:val="20"/>
        </w:rPr>
        <w:footnoteRef/>
      </w:r>
      <w:r w:rsidRPr="00744986">
        <w:rPr>
          <w:sz w:val="20"/>
          <w:szCs w:val="20"/>
        </w:rPr>
        <w:t xml:space="preserve"> Data source: NIS Serbia</w:t>
      </w:r>
      <w:r w:rsidRPr="00744986">
        <w:rPr>
          <w:sz w:val="20"/>
          <w:szCs w:val="20"/>
          <w:shd w:val="clear" w:color="auto" w:fill="FFFFFF"/>
        </w:rPr>
        <w:t xml:space="preserve"> Municipalities of Serbia, Employees by section of activity, Education and NIS Romania.</w:t>
      </w:r>
    </w:p>
  </w:footnote>
  <w:footnote w:id="53">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lang w:val="en-US"/>
        </w:rPr>
        <w:t xml:space="preserve"> http://www.unicef.org/ceecis/Romania.pdf</w:t>
      </w:r>
    </w:p>
  </w:footnote>
  <w:footnote w:id="54">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Communication Regional Policy contributing to smart growth in Europe 2020, </w:t>
      </w:r>
      <w:hyperlink r:id="rId24" w:history="1">
        <w:r w:rsidRPr="00744986">
          <w:rPr>
            <w:rStyle w:val="Hyperlink"/>
            <w:rFonts w:cs="Trebuchet MS"/>
            <w:sz w:val="20"/>
            <w:szCs w:val="20"/>
          </w:rPr>
          <w:t>http://ec.europa.eu/regional_policy/sources/docoffic/</w:t>
        </w:r>
      </w:hyperlink>
      <w:r w:rsidRPr="00744986">
        <w:rPr>
          <w:sz w:val="20"/>
          <w:szCs w:val="20"/>
        </w:rPr>
        <w:t xml:space="preserve"> official/communic/sustainable/ comm2011_17_en.pdf</w:t>
      </w:r>
    </w:p>
  </w:footnote>
  <w:footnote w:id="55">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http://s3platform.jrc.ec.europa.eu /s3-platform -registered-regions;jsessionid=0pKHSy ZDw GJwlL9L87 y0hj Qkd9xfy8Kkvg 1MGwGq1QKpFy Q8hbHr!1794812450!1390991811073</w:t>
      </w:r>
    </w:p>
  </w:footnote>
  <w:footnote w:id="56">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rPr>
        <w:t xml:space="preserve"> Evaluation Report Romania-Republic of Serbia Programme 2012</w:t>
      </w:r>
    </w:p>
  </w:footnote>
  <w:footnote w:id="57">
    <w:p w:rsidR="001D554E" w:rsidRPr="007135BF" w:rsidRDefault="001D554E">
      <w:pPr>
        <w:pStyle w:val="FootnoteText"/>
      </w:pPr>
      <w:r>
        <w:rPr>
          <w:rStyle w:val="FootnoteReference"/>
        </w:rPr>
        <w:footnoteRef/>
      </w:r>
      <w:r>
        <w:t xml:space="preserve"> Podunavski was not eligible in the 2007-2013 period</w:t>
      </w:r>
    </w:p>
  </w:footnote>
  <w:footnote w:id="58">
    <w:p w:rsidR="001D554E" w:rsidRPr="00744986" w:rsidRDefault="001D554E" w:rsidP="00744986">
      <w:pPr>
        <w:pStyle w:val="FootnoteText"/>
        <w:spacing w:after="0" w:line="240" w:lineRule="auto"/>
        <w:rPr>
          <w:sz w:val="20"/>
          <w:szCs w:val="20"/>
          <w:lang w:val="en-US"/>
        </w:rPr>
      </w:pPr>
      <w:r w:rsidRPr="00744986">
        <w:rPr>
          <w:rStyle w:val="FootnoteReference"/>
          <w:sz w:val="20"/>
          <w:szCs w:val="20"/>
        </w:rPr>
        <w:footnoteRef/>
      </w:r>
      <w:r w:rsidRPr="00744986">
        <w:rPr>
          <w:sz w:val="20"/>
          <w:szCs w:val="20"/>
        </w:rPr>
        <w:t xml:space="preserve"> Evaluation Report Romania-Republic of Serbia Programme 2012</w:t>
      </w:r>
    </w:p>
  </w:footnote>
  <w:footnote w:id="59">
    <w:p w:rsidR="001D554E" w:rsidRPr="00744986" w:rsidRDefault="001D554E" w:rsidP="00744986">
      <w:pPr>
        <w:pStyle w:val="FootnoteText"/>
        <w:spacing w:after="0" w:line="240" w:lineRule="auto"/>
        <w:rPr>
          <w:sz w:val="20"/>
          <w:szCs w:val="20"/>
          <w:lang w:val="en-US"/>
        </w:rPr>
      </w:pPr>
      <w:r w:rsidRPr="00744986">
        <w:rPr>
          <w:rStyle w:val="FootnoteReference"/>
          <w:sz w:val="20"/>
          <w:szCs w:val="20"/>
          <w:lang w:val="en-US"/>
        </w:rPr>
        <w:footnoteRef/>
      </w:r>
      <w:r w:rsidRPr="00744986">
        <w:rPr>
          <w:sz w:val="20"/>
          <w:szCs w:val="20"/>
          <w:lang w:val="en-US"/>
        </w:rPr>
        <w:t xml:space="preserve"> Competition for funds is a composite indicator defined by the ratio Funds/Inhabitants in the Programme area and a Centrality index (existence of large metropolitan areas), assuming that in those areas there is a higher density of skilled applicants who compete for the funds. </w:t>
      </w:r>
    </w:p>
  </w:footnote>
  <w:footnote w:id="60">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Excluding Technical Assistance</w:t>
      </w:r>
    </w:p>
  </w:footnote>
  <w:footnote w:id="61">
    <w:p w:rsidR="001D554E" w:rsidRPr="00744986" w:rsidRDefault="001D554E" w:rsidP="00744986">
      <w:pPr>
        <w:pStyle w:val="FootnoteText"/>
        <w:spacing w:after="0" w:line="240" w:lineRule="auto"/>
        <w:rPr>
          <w:sz w:val="20"/>
          <w:szCs w:val="20"/>
        </w:rPr>
      </w:pPr>
      <w:r w:rsidRPr="00744986">
        <w:rPr>
          <w:rStyle w:val="FootnoteReference"/>
          <w:sz w:val="20"/>
          <w:szCs w:val="20"/>
        </w:rPr>
        <w:footnoteRef/>
      </w:r>
      <w:r w:rsidRPr="00744986">
        <w:rPr>
          <w:sz w:val="20"/>
          <w:szCs w:val="20"/>
        </w:rPr>
        <w:t xml:space="preserve"> Regulation (Eu) No 231/2014 Of The European Parliament and of the Council of 11 March 2014 establishing an Instrument for Pre-accession Assistance (IPA II)</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554E" w:rsidRDefault="005D307D" w:rsidP="00766BB2">
    <w:pPr>
      <w:pStyle w:val="Header"/>
    </w:pPr>
    <w:r>
      <w:rPr>
        <w:noProof/>
        <w:lang w:eastAsia="en-GB"/>
      </w:rPr>
      <w:drawing>
        <wp:inline distT="0" distB="0" distL="0" distR="0" wp14:anchorId="6816A466" wp14:editId="47ADD0F8">
          <wp:extent cx="3355219" cy="723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1.png"/>
                  <pic:cNvPicPr/>
                </pic:nvPicPr>
                <pic:blipFill>
                  <a:blip r:embed="rId1">
                    <a:extLst>
                      <a:ext uri="{28A0092B-C50C-407E-A947-70E740481C1C}">
                        <a14:useLocalDpi xmlns:a14="http://schemas.microsoft.com/office/drawing/2010/main" val="0"/>
                      </a:ext>
                    </a:extLst>
                  </a:blip>
                  <a:stretch>
                    <a:fillRect/>
                  </a:stretch>
                </pic:blipFill>
                <pic:spPr>
                  <a:xfrm>
                    <a:off x="0" y="0"/>
                    <a:ext cx="3451754" cy="744728"/>
                  </a:xfrm>
                  <a:prstGeom prst="rect">
                    <a:avLst/>
                  </a:prstGeom>
                </pic:spPr>
              </pic:pic>
            </a:graphicData>
          </a:graphic>
        </wp:inline>
      </w:drawing>
    </w:r>
    <w:r w:rsidR="001D554E">
      <w:rPr>
        <w:noProof/>
        <w:lang w:eastAsia="en-GB"/>
      </w:rPr>
      <w:drawing>
        <wp:anchor distT="0" distB="0" distL="114300" distR="114300" simplePos="0" relativeHeight="251702272" behindDoc="0" locked="0" layoutInCell="1" allowOverlap="1" wp14:anchorId="388271FF" wp14:editId="7F5C0473">
          <wp:simplePos x="0" y="0"/>
          <wp:positionH relativeFrom="column">
            <wp:posOffset>4742815</wp:posOffset>
          </wp:positionH>
          <wp:positionV relativeFrom="paragraph">
            <wp:posOffset>-208915</wp:posOffset>
          </wp:positionV>
          <wp:extent cx="1789430" cy="793115"/>
          <wp:effectExtent l="19050" t="0" r="1270" b="0"/>
          <wp:wrapSquare wrapText="bothSides"/>
          <wp:docPr id="41" name="Picture 1" descr="C:\Users\user\AppData\Local\Microsoft\Windows\Temporary Internet Files\Content.Outlook\7H671R1R\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Temporary Internet Files\Content.Outlook\7H671R1R\ICE.jpg"/>
                  <pic:cNvPicPr>
                    <a:picLocks noChangeAspect="1" noChangeArrowheads="1"/>
                  </pic:cNvPicPr>
                </pic:nvPicPr>
                <pic:blipFill>
                  <a:blip r:embed="rId2"/>
                  <a:srcRect l="2916" t="5302" r="8565" b="15390"/>
                  <a:stretch>
                    <a:fillRect/>
                  </a:stretch>
                </pic:blipFill>
                <pic:spPr bwMode="auto">
                  <a:xfrm>
                    <a:off x="0" y="0"/>
                    <a:ext cx="1789430" cy="79311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554E" w:rsidRDefault="005D307D" w:rsidP="005D307D">
    <w:pPr>
      <w:pStyle w:val="Header"/>
      <w:tabs>
        <w:tab w:val="clear" w:pos="4536"/>
        <w:tab w:val="clear" w:pos="9072"/>
        <w:tab w:val="left" w:pos="5205"/>
      </w:tabs>
    </w:pPr>
    <w:r>
      <w:rPr>
        <w:noProof/>
        <w:lang w:eastAsia="en-GB"/>
      </w:rPr>
      <w:drawing>
        <wp:inline distT="0" distB="0" distL="0" distR="0" wp14:anchorId="137EA8E8" wp14:editId="7D2293E9">
          <wp:extent cx="3355219" cy="723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1.png"/>
                  <pic:cNvPicPr/>
                </pic:nvPicPr>
                <pic:blipFill>
                  <a:blip r:embed="rId1">
                    <a:extLst>
                      <a:ext uri="{28A0092B-C50C-407E-A947-70E740481C1C}">
                        <a14:useLocalDpi xmlns:a14="http://schemas.microsoft.com/office/drawing/2010/main" val="0"/>
                      </a:ext>
                    </a:extLst>
                  </a:blip>
                  <a:stretch>
                    <a:fillRect/>
                  </a:stretch>
                </pic:blipFill>
                <pic:spPr>
                  <a:xfrm>
                    <a:off x="0" y="0"/>
                    <a:ext cx="3451754" cy="744728"/>
                  </a:xfrm>
                  <a:prstGeom prst="rect">
                    <a:avLst/>
                  </a:prstGeom>
                </pic:spPr>
              </pic:pic>
            </a:graphicData>
          </a:graphic>
        </wp:inline>
      </w:drawing>
    </w:r>
    <w:r w:rsidR="001D554E">
      <w:rPr>
        <w:noProof/>
        <w:lang w:eastAsia="en-GB"/>
      </w:rPr>
      <w:drawing>
        <wp:anchor distT="0" distB="0" distL="114300" distR="114300" simplePos="0" relativeHeight="251657216" behindDoc="0" locked="0" layoutInCell="1" allowOverlap="1" wp14:anchorId="3ABB51A4" wp14:editId="3F37E31C">
          <wp:simplePos x="0" y="0"/>
          <wp:positionH relativeFrom="column">
            <wp:posOffset>4433570</wp:posOffset>
          </wp:positionH>
          <wp:positionV relativeFrom="paragraph">
            <wp:posOffset>-59690</wp:posOffset>
          </wp:positionV>
          <wp:extent cx="1790700" cy="790575"/>
          <wp:effectExtent l="19050" t="0" r="0" b="0"/>
          <wp:wrapSquare wrapText="bothSides"/>
          <wp:docPr id="1" name="Picture 1" descr="C:\Users\user\AppData\Local\Microsoft\Windows\Temporary Internet Files\Content.Outlook\7H671R1R\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AppData\Local\Microsoft\Windows\Temporary Internet Files\Content.Outlook\7H671R1R\ICE.jpg"/>
                  <pic:cNvPicPr>
                    <a:picLocks noChangeAspect="1" noChangeArrowheads="1"/>
                  </pic:cNvPicPr>
                </pic:nvPicPr>
                <pic:blipFill>
                  <a:blip r:embed="rId2">
                    <a:extLst>
                      <a:ext uri="{28A0092B-C50C-407E-A947-70E740481C1C}">
                        <a14:useLocalDpi xmlns:a14="http://schemas.microsoft.com/office/drawing/2010/main" val="0"/>
                      </a:ext>
                    </a:extLst>
                  </a:blip>
                  <a:srcRect l="2916" t="5302" r="8565" b="15390"/>
                  <a:stretch>
                    <a:fillRect/>
                  </a:stretch>
                </pic:blipFill>
                <pic:spPr bwMode="auto">
                  <a:xfrm>
                    <a:off x="0" y="0"/>
                    <a:ext cx="1790700" cy="790575"/>
                  </a:xfrm>
                  <a:prstGeom prst="rect">
                    <a:avLst/>
                  </a:prstGeom>
                  <a:noFill/>
                  <a:ln>
                    <a:noFill/>
                  </a:ln>
                </pic:spPr>
              </pic:pic>
            </a:graphicData>
          </a:graphic>
        </wp:anchor>
      </w:drawing>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5"/>
    <w:multiLevelType w:val="multilevel"/>
    <w:tmpl w:val="00000000"/>
    <w:lvl w:ilvl="0">
      <w:start w:val="1"/>
      <w:numFmt w:val="decimal"/>
      <w:pStyle w:val="Level1"/>
      <w:lvlText w:val="%1."/>
      <w:lvlJc w:val="left"/>
      <w:pPr>
        <w:tabs>
          <w:tab w:val="num" w:pos="720"/>
        </w:tabs>
        <w:ind w:left="720" w:hanging="720"/>
      </w:pPr>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numFmt w:val="decimal"/>
      <w:lvlText w:val=""/>
      <w:lvlJc w:val="left"/>
      <w:rPr>
        <w:rFonts w:cs="Times New Roman"/>
      </w:rPr>
    </w:lvl>
  </w:abstractNum>
  <w:abstractNum w:abstractNumId="1">
    <w:nsid w:val="04E91B70"/>
    <w:multiLevelType w:val="hybridMultilevel"/>
    <w:tmpl w:val="8566263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D01425"/>
    <w:multiLevelType w:val="hybridMultilevel"/>
    <w:tmpl w:val="FA8A0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B70076"/>
    <w:multiLevelType w:val="hybridMultilevel"/>
    <w:tmpl w:val="D1206CF2"/>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E66C9E"/>
    <w:multiLevelType w:val="hybridMultilevel"/>
    <w:tmpl w:val="66AC69D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12464162"/>
    <w:multiLevelType w:val="hybridMultilevel"/>
    <w:tmpl w:val="35208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46795F"/>
    <w:multiLevelType w:val="hybridMultilevel"/>
    <w:tmpl w:val="D054C796"/>
    <w:lvl w:ilvl="0" w:tplc="04090001">
      <w:start w:val="1"/>
      <w:numFmt w:val="bullet"/>
      <w:lvlText w:val=""/>
      <w:lvlJc w:val="left"/>
      <w:pPr>
        <w:ind w:left="720" w:hanging="360"/>
      </w:pPr>
      <w:rPr>
        <w:rFonts w:ascii="Symbol" w:hAnsi="Symbol" w:hint="default"/>
      </w:rPr>
    </w:lvl>
    <w:lvl w:ilvl="1" w:tplc="69C66B40">
      <w:numFmt w:val="bullet"/>
      <w:lvlText w:val="-"/>
      <w:lvlJc w:val="left"/>
      <w:pPr>
        <w:ind w:left="1440" w:hanging="360"/>
      </w:pPr>
      <w:rPr>
        <w:rFonts w:ascii="Trebuchet MS" w:eastAsia="Times New Roman" w:hAnsi="Trebuchet MS" w:cs="Trebuchet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63F0B19"/>
    <w:multiLevelType w:val="hybridMultilevel"/>
    <w:tmpl w:val="C9EE5CCE"/>
    <w:lvl w:ilvl="0" w:tplc="04100001">
      <w:start w:val="1"/>
      <w:numFmt w:val="bullet"/>
      <w:lvlText w:val=""/>
      <w:lvlJc w:val="left"/>
      <w:pPr>
        <w:ind w:left="107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76C1466"/>
    <w:multiLevelType w:val="hybridMultilevel"/>
    <w:tmpl w:val="841A4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81F743B"/>
    <w:multiLevelType w:val="hybridMultilevel"/>
    <w:tmpl w:val="B0EAA2D6"/>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nsid w:val="28476A27"/>
    <w:multiLevelType w:val="hybridMultilevel"/>
    <w:tmpl w:val="37EA5CD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nsid w:val="344E41E0"/>
    <w:multiLevelType w:val="hybridMultilevel"/>
    <w:tmpl w:val="D71268B4"/>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2">
    <w:nsid w:val="34EA2A79"/>
    <w:multiLevelType w:val="multilevel"/>
    <w:tmpl w:val="39DE86E2"/>
    <w:lvl w:ilvl="0">
      <w:start w:val="1"/>
      <w:numFmt w:val="decimal"/>
      <w:pStyle w:val="Style2"/>
      <w:lvlText w:val="%1."/>
      <w:lvlJc w:val="left"/>
      <w:pPr>
        <w:tabs>
          <w:tab w:val="num" w:pos="1440"/>
        </w:tabs>
        <w:ind w:left="1440" w:hanging="360"/>
      </w:pPr>
      <w:rPr>
        <w:rFonts w:cs="Times New Roman" w:hint="default"/>
      </w:rPr>
    </w:lvl>
    <w:lvl w:ilvl="1" w:tentative="1">
      <w:start w:val="1"/>
      <w:numFmt w:val="lowerLetter"/>
      <w:pStyle w:val="Style2"/>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13">
    <w:nsid w:val="36A40087"/>
    <w:multiLevelType w:val="hybridMultilevel"/>
    <w:tmpl w:val="BF3CD8EA"/>
    <w:lvl w:ilvl="0" w:tplc="0DD61232">
      <w:start w:val="1"/>
      <w:numFmt w:val="bullet"/>
      <w:lvlText w:val="•"/>
      <w:lvlJc w:val="left"/>
      <w:pPr>
        <w:tabs>
          <w:tab w:val="num" w:pos="720"/>
        </w:tabs>
        <w:ind w:left="720" w:hanging="360"/>
      </w:pPr>
      <w:rPr>
        <w:rFonts w:ascii="Times New Roman" w:hAnsi="Times New Roman" w:hint="default"/>
      </w:rPr>
    </w:lvl>
    <w:lvl w:ilvl="1" w:tplc="80DA9568">
      <w:start w:val="1925"/>
      <w:numFmt w:val="bullet"/>
      <w:lvlText w:val="–"/>
      <w:lvlJc w:val="left"/>
      <w:pPr>
        <w:tabs>
          <w:tab w:val="num" w:pos="1440"/>
        </w:tabs>
        <w:ind w:left="1440" w:hanging="360"/>
      </w:pPr>
      <w:rPr>
        <w:rFonts w:ascii="Times New Roman" w:hAnsi="Times New Roman" w:hint="default"/>
      </w:rPr>
    </w:lvl>
    <w:lvl w:ilvl="2" w:tplc="58DC4FD6" w:tentative="1">
      <w:start w:val="1"/>
      <w:numFmt w:val="bullet"/>
      <w:lvlText w:val="•"/>
      <w:lvlJc w:val="left"/>
      <w:pPr>
        <w:tabs>
          <w:tab w:val="num" w:pos="2160"/>
        </w:tabs>
        <w:ind w:left="2160" w:hanging="360"/>
      </w:pPr>
      <w:rPr>
        <w:rFonts w:ascii="Times New Roman" w:hAnsi="Times New Roman" w:hint="default"/>
      </w:rPr>
    </w:lvl>
    <w:lvl w:ilvl="3" w:tplc="4C9EB8C0" w:tentative="1">
      <w:start w:val="1"/>
      <w:numFmt w:val="bullet"/>
      <w:lvlText w:val="•"/>
      <w:lvlJc w:val="left"/>
      <w:pPr>
        <w:tabs>
          <w:tab w:val="num" w:pos="2880"/>
        </w:tabs>
        <w:ind w:left="2880" w:hanging="360"/>
      </w:pPr>
      <w:rPr>
        <w:rFonts w:ascii="Times New Roman" w:hAnsi="Times New Roman" w:hint="default"/>
      </w:rPr>
    </w:lvl>
    <w:lvl w:ilvl="4" w:tplc="439E9AC4" w:tentative="1">
      <w:start w:val="1"/>
      <w:numFmt w:val="bullet"/>
      <w:lvlText w:val="•"/>
      <w:lvlJc w:val="left"/>
      <w:pPr>
        <w:tabs>
          <w:tab w:val="num" w:pos="3600"/>
        </w:tabs>
        <w:ind w:left="3600" w:hanging="360"/>
      </w:pPr>
      <w:rPr>
        <w:rFonts w:ascii="Times New Roman" w:hAnsi="Times New Roman" w:hint="default"/>
      </w:rPr>
    </w:lvl>
    <w:lvl w:ilvl="5" w:tplc="E5E8B332" w:tentative="1">
      <w:start w:val="1"/>
      <w:numFmt w:val="bullet"/>
      <w:lvlText w:val="•"/>
      <w:lvlJc w:val="left"/>
      <w:pPr>
        <w:tabs>
          <w:tab w:val="num" w:pos="4320"/>
        </w:tabs>
        <w:ind w:left="4320" w:hanging="360"/>
      </w:pPr>
      <w:rPr>
        <w:rFonts w:ascii="Times New Roman" w:hAnsi="Times New Roman" w:hint="default"/>
      </w:rPr>
    </w:lvl>
    <w:lvl w:ilvl="6" w:tplc="1010A5AC" w:tentative="1">
      <w:start w:val="1"/>
      <w:numFmt w:val="bullet"/>
      <w:lvlText w:val="•"/>
      <w:lvlJc w:val="left"/>
      <w:pPr>
        <w:tabs>
          <w:tab w:val="num" w:pos="5040"/>
        </w:tabs>
        <w:ind w:left="5040" w:hanging="360"/>
      </w:pPr>
      <w:rPr>
        <w:rFonts w:ascii="Times New Roman" w:hAnsi="Times New Roman" w:hint="default"/>
      </w:rPr>
    </w:lvl>
    <w:lvl w:ilvl="7" w:tplc="6920475C" w:tentative="1">
      <w:start w:val="1"/>
      <w:numFmt w:val="bullet"/>
      <w:lvlText w:val="•"/>
      <w:lvlJc w:val="left"/>
      <w:pPr>
        <w:tabs>
          <w:tab w:val="num" w:pos="5760"/>
        </w:tabs>
        <w:ind w:left="5760" w:hanging="360"/>
      </w:pPr>
      <w:rPr>
        <w:rFonts w:ascii="Times New Roman" w:hAnsi="Times New Roman" w:hint="default"/>
      </w:rPr>
    </w:lvl>
    <w:lvl w:ilvl="8" w:tplc="015C848E" w:tentative="1">
      <w:start w:val="1"/>
      <w:numFmt w:val="bullet"/>
      <w:lvlText w:val="•"/>
      <w:lvlJc w:val="left"/>
      <w:pPr>
        <w:tabs>
          <w:tab w:val="num" w:pos="6480"/>
        </w:tabs>
        <w:ind w:left="6480" w:hanging="360"/>
      </w:pPr>
      <w:rPr>
        <w:rFonts w:ascii="Times New Roman" w:hAnsi="Times New Roman" w:hint="default"/>
      </w:rPr>
    </w:lvl>
  </w:abstractNum>
  <w:abstractNum w:abstractNumId="14">
    <w:nsid w:val="40331858"/>
    <w:multiLevelType w:val="hybridMultilevel"/>
    <w:tmpl w:val="5E0E9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60361D"/>
    <w:multiLevelType w:val="hybridMultilevel"/>
    <w:tmpl w:val="872C17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56E61DA"/>
    <w:multiLevelType w:val="hybridMultilevel"/>
    <w:tmpl w:val="4B8CBC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50C3132C"/>
    <w:multiLevelType w:val="hybridMultilevel"/>
    <w:tmpl w:val="43F8CEC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51AB48E4"/>
    <w:multiLevelType w:val="hybridMultilevel"/>
    <w:tmpl w:val="09CC1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83319A"/>
    <w:multiLevelType w:val="hybridMultilevel"/>
    <w:tmpl w:val="324A8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AC0545A"/>
    <w:multiLevelType w:val="hybridMultilevel"/>
    <w:tmpl w:val="86E6A0A2"/>
    <w:lvl w:ilvl="0" w:tplc="E98431B2">
      <w:start w:val="1"/>
      <w:numFmt w:val="bullet"/>
      <w:lvlText w:val=""/>
      <w:lvlJc w:val="left"/>
      <w:pPr>
        <w:ind w:left="720" w:hanging="360"/>
      </w:pPr>
      <w:rPr>
        <w:rFonts w:ascii="Wingdings" w:hAnsi="Wingdings" w:hint="default"/>
        <w:b w:val="0"/>
        <w:i w:val="0"/>
        <w:color w:val="2DA15C"/>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31C7692"/>
    <w:multiLevelType w:val="hybridMultilevel"/>
    <w:tmpl w:val="188E528C"/>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659E35D8"/>
    <w:multiLevelType w:val="hybridMultilevel"/>
    <w:tmpl w:val="DAA458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9F4083F"/>
    <w:multiLevelType w:val="hybridMultilevel"/>
    <w:tmpl w:val="367C7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A8B2B9A"/>
    <w:multiLevelType w:val="hybridMultilevel"/>
    <w:tmpl w:val="AFFCD746"/>
    <w:lvl w:ilvl="0" w:tplc="0FC446AE">
      <w:start w:val="1"/>
      <w:numFmt w:val="bullet"/>
      <w:lvlText w:val=""/>
      <w:lvlJc w:val="left"/>
      <w:pPr>
        <w:ind w:left="72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E5917A3"/>
    <w:multiLevelType w:val="hybridMultilevel"/>
    <w:tmpl w:val="187CB6E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6EE94039"/>
    <w:multiLevelType w:val="hybridMultilevel"/>
    <w:tmpl w:val="1FF8BC5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10B793E"/>
    <w:multiLevelType w:val="multilevel"/>
    <w:tmpl w:val="1F2C447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nsid w:val="732E7BCD"/>
    <w:multiLevelType w:val="hybridMultilevel"/>
    <w:tmpl w:val="83DCF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7C51B99"/>
    <w:multiLevelType w:val="hybridMultilevel"/>
    <w:tmpl w:val="DD5A520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795D33D3"/>
    <w:multiLevelType w:val="multilevel"/>
    <w:tmpl w:val="1FA43E62"/>
    <w:lvl w:ilvl="0">
      <w:start w:val="1"/>
      <w:numFmt w:val="decimal"/>
      <w:pStyle w:val="mberschrift1"/>
      <w:lvlText w:val="%1"/>
      <w:lvlJc w:val="left"/>
      <w:pPr>
        <w:tabs>
          <w:tab w:val="num" w:pos="474"/>
        </w:tabs>
        <w:ind w:left="262" w:hanging="148"/>
      </w:pPr>
      <w:rPr>
        <w:rFonts w:cs="Times New Roman" w:hint="default"/>
      </w:rPr>
    </w:lvl>
    <w:lvl w:ilvl="1">
      <w:start w:val="1"/>
      <w:numFmt w:val="decimal"/>
      <w:pStyle w:val="mberschrift2"/>
      <w:lvlText w:val="%1.%2"/>
      <w:lvlJc w:val="left"/>
      <w:pPr>
        <w:tabs>
          <w:tab w:val="num" w:pos="360"/>
        </w:tabs>
      </w:pPr>
      <w:rPr>
        <w:rFonts w:cs="Times New Roman" w:hint="default"/>
      </w:rPr>
    </w:lvl>
    <w:lvl w:ilvl="2">
      <w:start w:val="1"/>
      <w:numFmt w:val="decimal"/>
      <w:pStyle w:val="mberschrift3"/>
      <w:lvlText w:val="%1.%2.%3"/>
      <w:lvlJc w:val="left"/>
      <w:pPr>
        <w:tabs>
          <w:tab w:val="num" w:pos="720"/>
        </w:tabs>
      </w:pPr>
      <w:rPr>
        <w:rFonts w:cs="Times New Roman" w:hint="default"/>
      </w:rPr>
    </w:lvl>
    <w:lvl w:ilvl="3">
      <w:start w:val="1"/>
      <w:numFmt w:val="decimal"/>
      <w:pStyle w:val="mberschrift4"/>
      <w:lvlText w:val="%1.%2.%3.%4"/>
      <w:lvlJc w:val="left"/>
      <w:pPr>
        <w:tabs>
          <w:tab w:val="num" w:pos="1080"/>
        </w:tabs>
      </w:pPr>
      <w:rPr>
        <w:rFonts w:cs="Times New Roman" w:hint="default"/>
      </w:rPr>
    </w:lvl>
    <w:lvl w:ilvl="4">
      <w:start w:val="1"/>
      <w:numFmt w:val="decimal"/>
      <w:lvlText w:val="%1.%2.%3.%4.%5"/>
      <w:lvlJc w:val="left"/>
      <w:pPr>
        <w:tabs>
          <w:tab w:val="num" w:pos="838"/>
        </w:tabs>
        <w:ind w:left="838" w:hanging="1008"/>
      </w:pPr>
      <w:rPr>
        <w:rFonts w:cs="Times New Roman" w:hint="default"/>
      </w:rPr>
    </w:lvl>
    <w:lvl w:ilvl="5">
      <w:start w:val="1"/>
      <w:numFmt w:val="decimal"/>
      <w:lvlText w:val="%1.%2.%3.%4.%5.%6"/>
      <w:lvlJc w:val="left"/>
      <w:pPr>
        <w:tabs>
          <w:tab w:val="num" w:pos="982"/>
        </w:tabs>
        <w:ind w:left="982" w:hanging="1152"/>
      </w:pPr>
      <w:rPr>
        <w:rFonts w:cs="Times New Roman" w:hint="default"/>
      </w:rPr>
    </w:lvl>
    <w:lvl w:ilvl="6">
      <w:start w:val="1"/>
      <w:numFmt w:val="decimal"/>
      <w:lvlText w:val="%1.%2.%3.%4.%5.%6.%7"/>
      <w:lvlJc w:val="left"/>
      <w:pPr>
        <w:tabs>
          <w:tab w:val="num" w:pos="1126"/>
        </w:tabs>
        <w:ind w:left="1126" w:hanging="1296"/>
      </w:pPr>
      <w:rPr>
        <w:rFonts w:cs="Times New Roman" w:hint="default"/>
      </w:rPr>
    </w:lvl>
    <w:lvl w:ilvl="7">
      <w:start w:val="1"/>
      <w:numFmt w:val="decimal"/>
      <w:lvlText w:val="%1.%2.%3.%4.%5.%6.%7.%8"/>
      <w:lvlJc w:val="left"/>
      <w:pPr>
        <w:tabs>
          <w:tab w:val="num" w:pos="1270"/>
        </w:tabs>
        <w:ind w:left="1270" w:hanging="1440"/>
      </w:pPr>
      <w:rPr>
        <w:rFonts w:cs="Times New Roman" w:hint="default"/>
      </w:rPr>
    </w:lvl>
    <w:lvl w:ilvl="8">
      <w:start w:val="1"/>
      <w:numFmt w:val="decimal"/>
      <w:lvlText w:val="%1.%2.%3.%4.%5.%6.%7.%8.%9"/>
      <w:lvlJc w:val="left"/>
      <w:pPr>
        <w:tabs>
          <w:tab w:val="num" w:pos="1414"/>
        </w:tabs>
        <w:ind w:left="1414" w:hanging="1584"/>
      </w:pPr>
      <w:rPr>
        <w:rFonts w:cs="Times New Roman" w:hint="default"/>
      </w:rPr>
    </w:lvl>
  </w:abstractNum>
  <w:abstractNum w:abstractNumId="31">
    <w:nsid w:val="7C14643D"/>
    <w:multiLevelType w:val="hybridMultilevel"/>
    <w:tmpl w:val="6EDC7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FB0536D"/>
    <w:multiLevelType w:val="hybridMultilevel"/>
    <w:tmpl w:val="119CDCBE"/>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num w:numId="1">
    <w:abstractNumId w:val="0"/>
    <w:lvlOverride w:ilvl="0">
      <w:startOverride w:val="3"/>
      <w:lvl w:ilvl="0">
        <w:start w:val="3"/>
        <w:numFmt w:val="decimal"/>
        <w:pStyle w:val="Level1"/>
        <w:lvlText w:val="%1."/>
        <w:lvlJc w:val="left"/>
        <w:rPr>
          <w:rFonts w:cs="Times New Roman"/>
        </w:rPr>
      </w:lvl>
    </w:lvlOverride>
    <w:lvlOverride w:ilvl="1">
      <w:startOverride w:val="1"/>
      <w:lvl w:ilvl="1">
        <w:start w:val="1"/>
        <w:numFmt w:val="decimal"/>
        <w:lvlText w:val="%2"/>
        <w:lvlJc w:val="left"/>
        <w:rPr>
          <w:rFonts w:cs="Times New Roman"/>
        </w:rPr>
      </w:lvl>
    </w:lvlOverride>
    <w:lvlOverride w:ilvl="2">
      <w:startOverride w:val="1"/>
      <w:lvl w:ilvl="2">
        <w:start w:val="1"/>
        <w:numFmt w:val="decimal"/>
        <w:lvlText w:val="%3"/>
        <w:lvlJc w:val="left"/>
        <w:rPr>
          <w:rFonts w:cs="Times New Roman"/>
        </w:rPr>
      </w:lvl>
    </w:lvlOverride>
    <w:lvlOverride w:ilvl="3">
      <w:startOverride w:val="1"/>
      <w:lvl w:ilvl="3">
        <w:start w:val="1"/>
        <w:numFmt w:val="decimal"/>
        <w:lvlText w:val="%4"/>
        <w:lvlJc w:val="left"/>
        <w:rPr>
          <w:rFonts w:cs="Times New Roman"/>
        </w:rPr>
      </w:lvl>
    </w:lvlOverride>
    <w:lvlOverride w:ilvl="4">
      <w:startOverride w:val="1"/>
      <w:lvl w:ilvl="4">
        <w:start w:val="1"/>
        <w:numFmt w:val="decimal"/>
        <w:lvlText w:val="%5"/>
        <w:lvlJc w:val="left"/>
        <w:rPr>
          <w:rFonts w:cs="Times New Roman"/>
        </w:rPr>
      </w:lvl>
    </w:lvlOverride>
    <w:lvlOverride w:ilvl="5">
      <w:startOverride w:val="1"/>
      <w:lvl w:ilvl="5">
        <w:start w:val="1"/>
        <w:numFmt w:val="decimal"/>
        <w:lvlText w:val="%6"/>
        <w:lvlJc w:val="left"/>
        <w:rPr>
          <w:rFonts w:cs="Times New Roman"/>
        </w:rPr>
      </w:lvl>
    </w:lvlOverride>
    <w:lvlOverride w:ilvl="6">
      <w:startOverride w:val="1"/>
      <w:lvl w:ilvl="6">
        <w:start w:val="1"/>
        <w:numFmt w:val="decimal"/>
        <w:lvlText w:val="%7"/>
        <w:lvlJc w:val="left"/>
        <w:rPr>
          <w:rFonts w:cs="Times New Roman"/>
        </w:rPr>
      </w:lvl>
    </w:lvlOverride>
    <w:lvlOverride w:ilvl="7">
      <w:startOverride w:val="1"/>
      <w:lvl w:ilvl="7">
        <w:start w:val="1"/>
        <w:numFmt w:val="decimal"/>
        <w:lvlText w:val="%8"/>
        <w:lvlJc w:val="left"/>
        <w:rPr>
          <w:rFonts w:cs="Times New Roman"/>
        </w:rPr>
      </w:lvl>
    </w:lvlOverride>
  </w:num>
  <w:num w:numId="2">
    <w:abstractNumId w:val="12"/>
  </w:num>
  <w:num w:numId="3">
    <w:abstractNumId w:val="30"/>
  </w:num>
  <w:num w:numId="4">
    <w:abstractNumId w:val="27"/>
  </w:num>
  <w:num w:numId="5">
    <w:abstractNumId w:val="13"/>
  </w:num>
  <w:num w:numId="6">
    <w:abstractNumId w:val="7"/>
  </w:num>
  <w:num w:numId="7">
    <w:abstractNumId w:val="3"/>
  </w:num>
  <w:num w:numId="8">
    <w:abstractNumId w:val="5"/>
  </w:num>
  <w:num w:numId="9">
    <w:abstractNumId w:val="18"/>
  </w:num>
  <w:num w:numId="10">
    <w:abstractNumId w:val="14"/>
  </w:num>
  <w:num w:numId="11">
    <w:abstractNumId w:val="23"/>
  </w:num>
  <w:num w:numId="12">
    <w:abstractNumId w:val="6"/>
  </w:num>
  <w:num w:numId="13">
    <w:abstractNumId w:val="19"/>
  </w:num>
  <w:num w:numId="14">
    <w:abstractNumId w:val="28"/>
  </w:num>
  <w:num w:numId="15">
    <w:abstractNumId w:val="22"/>
  </w:num>
  <w:num w:numId="16">
    <w:abstractNumId w:val="15"/>
  </w:num>
  <w:num w:numId="17">
    <w:abstractNumId w:val="1"/>
  </w:num>
  <w:num w:numId="18">
    <w:abstractNumId w:val="29"/>
  </w:num>
  <w:num w:numId="19">
    <w:abstractNumId w:val="26"/>
  </w:num>
  <w:num w:numId="20">
    <w:abstractNumId w:val="32"/>
  </w:num>
  <w:num w:numId="21">
    <w:abstractNumId w:val="25"/>
  </w:num>
  <w:num w:numId="22">
    <w:abstractNumId w:val="4"/>
  </w:num>
  <w:num w:numId="23">
    <w:abstractNumId w:val="21"/>
  </w:num>
  <w:num w:numId="24">
    <w:abstractNumId w:val="17"/>
  </w:num>
  <w:num w:numId="25">
    <w:abstractNumId w:val="24"/>
  </w:num>
  <w:num w:numId="26">
    <w:abstractNumId w:val="2"/>
  </w:num>
  <w:num w:numId="27">
    <w:abstractNumId w:val="27"/>
  </w:num>
  <w:num w:numId="28">
    <w:abstractNumId w:val="27"/>
  </w:num>
  <w:num w:numId="29">
    <w:abstractNumId w:val="27"/>
  </w:num>
  <w:num w:numId="30">
    <w:abstractNumId w:val="20"/>
  </w:num>
  <w:num w:numId="31">
    <w:abstractNumId w:val="10"/>
  </w:num>
  <w:num w:numId="32">
    <w:abstractNumId w:val="11"/>
  </w:num>
  <w:num w:numId="33">
    <w:abstractNumId w:val="16"/>
  </w:num>
  <w:num w:numId="34">
    <w:abstractNumId w:val="8"/>
  </w:num>
  <w:num w:numId="35">
    <w:abstractNumId w:val="31"/>
  </w:num>
  <w:num w:numId="36">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oNotHyphenateCaps/>
  <w:drawingGridHorizontalSpacing w:val="110"/>
  <w:displayHorizontalDrawingGridEvery w:val="0"/>
  <w:displayVerticalDrawingGridEvery w:val="0"/>
  <w:noPunctuationKerning/>
  <w:characterSpacingControl w:val="doNotCompress"/>
  <w:hdrShapeDefaults>
    <o:shapedefaults v:ext="edit" spidmax="8193" fillcolor="white" stroke="f">
      <v:fill color="white"/>
      <v:stroke on="f"/>
      <v:textbox style="mso-fit-shape-to-text:t" inset="0,0,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782B"/>
    <w:rsid w:val="00000AE1"/>
    <w:rsid w:val="00001086"/>
    <w:rsid w:val="00001E7C"/>
    <w:rsid w:val="000037A5"/>
    <w:rsid w:val="00003F33"/>
    <w:rsid w:val="000042FC"/>
    <w:rsid w:val="000054B1"/>
    <w:rsid w:val="00007E75"/>
    <w:rsid w:val="000113A3"/>
    <w:rsid w:val="0001152D"/>
    <w:rsid w:val="00013F0C"/>
    <w:rsid w:val="0001482D"/>
    <w:rsid w:val="00015F7F"/>
    <w:rsid w:val="000238BF"/>
    <w:rsid w:val="00024FC1"/>
    <w:rsid w:val="00026EEB"/>
    <w:rsid w:val="00027104"/>
    <w:rsid w:val="000328DD"/>
    <w:rsid w:val="000329BB"/>
    <w:rsid w:val="000335CF"/>
    <w:rsid w:val="00033D4D"/>
    <w:rsid w:val="000343AF"/>
    <w:rsid w:val="00034F35"/>
    <w:rsid w:val="000352B0"/>
    <w:rsid w:val="000354B8"/>
    <w:rsid w:val="00035D95"/>
    <w:rsid w:val="00037E9B"/>
    <w:rsid w:val="00043257"/>
    <w:rsid w:val="000436C5"/>
    <w:rsid w:val="00044D8C"/>
    <w:rsid w:val="000467EF"/>
    <w:rsid w:val="00051A40"/>
    <w:rsid w:val="00054692"/>
    <w:rsid w:val="0005624A"/>
    <w:rsid w:val="00057209"/>
    <w:rsid w:val="00061448"/>
    <w:rsid w:val="00061C3B"/>
    <w:rsid w:val="000649DF"/>
    <w:rsid w:val="00064DA7"/>
    <w:rsid w:val="00064DE2"/>
    <w:rsid w:val="000675B6"/>
    <w:rsid w:val="00070974"/>
    <w:rsid w:val="00071183"/>
    <w:rsid w:val="00071D83"/>
    <w:rsid w:val="00073BD5"/>
    <w:rsid w:val="00075A1B"/>
    <w:rsid w:val="00076F54"/>
    <w:rsid w:val="00076FE8"/>
    <w:rsid w:val="0007723B"/>
    <w:rsid w:val="00077B35"/>
    <w:rsid w:val="000811D3"/>
    <w:rsid w:val="00081C73"/>
    <w:rsid w:val="00081DC0"/>
    <w:rsid w:val="00082AD6"/>
    <w:rsid w:val="00082E82"/>
    <w:rsid w:val="00084B53"/>
    <w:rsid w:val="00085686"/>
    <w:rsid w:val="00085E59"/>
    <w:rsid w:val="000867A5"/>
    <w:rsid w:val="00087C5C"/>
    <w:rsid w:val="00090494"/>
    <w:rsid w:val="0009162A"/>
    <w:rsid w:val="00092FB8"/>
    <w:rsid w:val="00094991"/>
    <w:rsid w:val="000971A3"/>
    <w:rsid w:val="0009784F"/>
    <w:rsid w:val="00097F3E"/>
    <w:rsid w:val="000A0BFC"/>
    <w:rsid w:val="000A0F83"/>
    <w:rsid w:val="000A175A"/>
    <w:rsid w:val="000A2814"/>
    <w:rsid w:val="000A6B06"/>
    <w:rsid w:val="000A76C1"/>
    <w:rsid w:val="000A782B"/>
    <w:rsid w:val="000B4A2F"/>
    <w:rsid w:val="000B5C26"/>
    <w:rsid w:val="000B6CDE"/>
    <w:rsid w:val="000B6EC7"/>
    <w:rsid w:val="000C1A8F"/>
    <w:rsid w:val="000C24C2"/>
    <w:rsid w:val="000C3292"/>
    <w:rsid w:val="000C4D25"/>
    <w:rsid w:val="000C576F"/>
    <w:rsid w:val="000C7F41"/>
    <w:rsid w:val="000D1BAF"/>
    <w:rsid w:val="000D2782"/>
    <w:rsid w:val="000D5354"/>
    <w:rsid w:val="000E060C"/>
    <w:rsid w:val="000E45CE"/>
    <w:rsid w:val="000E7129"/>
    <w:rsid w:val="000F0634"/>
    <w:rsid w:val="000F779F"/>
    <w:rsid w:val="000F7C7C"/>
    <w:rsid w:val="00100477"/>
    <w:rsid w:val="00101569"/>
    <w:rsid w:val="0010168E"/>
    <w:rsid w:val="00101D9B"/>
    <w:rsid w:val="001029E1"/>
    <w:rsid w:val="00105D6F"/>
    <w:rsid w:val="001105BD"/>
    <w:rsid w:val="00113BCD"/>
    <w:rsid w:val="0011520C"/>
    <w:rsid w:val="00115D59"/>
    <w:rsid w:val="00116709"/>
    <w:rsid w:val="00121104"/>
    <w:rsid w:val="001222BA"/>
    <w:rsid w:val="0012320E"/>
    <w:rsid w:val="00130FC7"/>
    <w:rsid w:val="00131326"/>
    <w:rsid w:val="00131457"/>
    <w:rsid w:val="0013475C"/>
    <w:rsid w:val="00136015"/>
    <w:rsid w:val="0013787B"/>
    <w:rsid w:val="00141A67"/>
    <w:rsid w:val="00141C11"/>
    <w:rsid w:val="001425DC"/>
    <w:rsid w:val="0014279C"/>
    <w:rsid w:val="001468AE"/>
    <w:rsid w:val="00146CBB"/>
    <w:rsid w:val="00150BAE"/>
    <w:rsid w:val="00150FE7"/>
    <w:rsid w:val="001521AC"/>
    <w:rsid w:val="001550B8"/>
    <w:rsid w:val="0015562B"/>
    <w:rsid w:val="00155FFF"/>
    <w:rsid w:val="00160948"/>
    <w:rsid w:val="00165058"/>
    <w:rsid w:val="00165B2E"/>
    <w:rsid w:val="00166BCA"/>
    <w:rsid w:val="00167A68"/>
    <w:rsid w:val="00175900"/>
    <w:rsid w:val="001759AB"/>
    <w:rsid w:val="00180047"/>
    <w:rsid w:val="00180AD4"/>
    <w:rsid w:val="00183222"/>
    <w:rsid w:val="00184F4C"/>
    <w:rsid w:val="00185FA0"/>
    <w:rsid w:val="00186BF8"/>
    <w:rsid w:val="00187F32"/>
    <w:rsid w:val="00191789"/>
    <w:rsid w:val="001922B8"/>
    <w:rsid w:val="00193CC9"/>
    <w:rsid w:val="00194876"/>
    <w:rsid w:val="00194F2A"/>
    <w:rsid w:val="00195548"/>
    <w:rsid w:val="00197477"/>
    <w:rsid w:val="001A2496"/>
    <w:rsid w:val="001A25ED"/>
    <w:rsid w:val="001A345E"/>
    <w:rsid w:val="001A45AB"/>
    <w:rsid w:val="001A4C0C"/>
    <w:rsid w:val="001B018E"/>
    <w:rsid w:val="001B0A39"/>
    <w:rsid w:val="001B4C4C"/>
    <w:rsid w:val="001B59CA"/>
    <w:rsid w:val="001B64C9"/>
    <w:rsid w:val="001B6F93"/>
    <w:rsid w:val="001B73CC"/>
    <w:rsid w:val="001B7EFA"/>
    <w:rsid w:val="001C15AF"/>
    <w:rsid w:val="001C1CAD"/>
    <w:rsid w:val="001C3D50"/>
    <w:rsid w:val="001C562A"/>
    <w:rsid w:val="001C5E6D"/>
    <w:rsid w:val="001C756E"/>
    <w:rsid w:val="001C7616"/>
    <w:rsid w:val="001D0944"/>
    <w:rsid w:val="001D13AC"/>
    <w:rsid w:val="001D1F06"/>
    <w:rsid w:val="001D5518"/>
    <w:rsid w:val="001D554E"/>
    <w:rsid w:val="001D6930"/>
    <w:rsid w:val="001D6AD6"/>
    <w:rsid w:val="001D6B49"/>
    <w:rsid w:val="001E2586"/>
    <w:rsid w:val="001E2CD1"/>
    <w:rsid w:val="001E3BC4"/>
    <w:rsid w:val="001E4666"/>
    <w:rsid w:val="001E5F40"/>
    <w:rsid w:val="001E630F"/>
    <w:rsid w:val="001F0731"/>
    <w:rsid w:val="001F08B3"/>
    <w:rsid w:val="001F0B52"/>
    <w:rsid w:val="001F2138"/>
    <w:rsid w:val="001F2532"/>
    <w:rsid w:val="001F2B47"/>
    <w:rsid w:val="001F3054"/>
    <w:rsid w:val="001F313A"/>
    <w:rsid w:val="001F321B"/>
    <w:rsid w:val="001F4FAE"/>
    <w:rsid w:val="001F5867"/>
    <w:rsid w:val="001F5CE3"/>
    <w:rsid w:val="001F74F0"/>
    <w:rsid w:val="00201CBF"/>
    <w:rsid w:val="0020265C"/>
    <w:rsid w:val="002041BF"/>
    <w:rsid w:val="0020523B"/>
    <w:rsid w:val="00213F43"/>
    <w:rsid w:val="002157B5"/>
    <w:rsid w:val="00217E3F"/>
    <w:rsid w:val="00220301"/>
    <w:rsid w:val="00222F2C"/>
    <w:rsid w:val="00223EE4"/>
    <w:rsid w:val="00224042"/>
    <w:rsid w:val="00232FE6"/>
    <w:rsid w:val="00233C98"/>
    <w:rsid w:val="00242CCC"/>
    <w:rsid w:val="00243AF9"/>
    <w:rsid w:val="00245224"/>
    <w:rsid w:val="00250AD6"/>
    <w:rsid w:val="00251480"/>
    <w:rsid w:val="00251BFB"/>
    <w:rsid w:val="00251FF8"/>
    <w:rsid w:val="00254249"/>
    <w:rsid w:val="0025568C"/>
    <w:rsid w:val="002629B2"/>
    <w:rsid w:val="00263DC3"/>
    <w:rsid w:val="0026566A"/>
    <w:rsid w:val="00266EB2"/>
    <w:rsid w:val="0026719D"/>
    <w:rsid w:val="00267873"/>
    <w:rsid w:val="002732E9"/>
    <w:rsid w:val="00280835"/>
    <w:rsid w:val="002842F9"/>
    <w:rsid w:val="0028450E"/>
    <w:rsid w:val="00285D55"/>
    <w:rsid w:val="00287722"/>
    <w:rsid w:val="00287832"/>
    <w:rsid w:val="00291828"/>
    <w:rsid w:val="00291A10"/>
    <w:rsid w:val="002938A4"/>
    <w:rsid w:val="0029403F"/>
    <w:rsid w:val="00295C85"/>
    <w:rsid w:val="002A166E"/>
    <w:rsid w:val="002A2290"/>
    <w:rsid w:val="002A2FEC"/>
    <w:rsid w:val="002A4E73"/>
    <w:rsid w:val="002A5836"/>
    <w:rsid w:val="002A7DA9"/>
    <w:rsid w:val="002B09CA"/>
    <w:rsid w:val="002B0D78"/>
    <w:rsid w:val="002B26B6"/>
    <w:rsid w:val="002B31E9"/>
    <w:rsid w:val="002B3D83"/>
    <w:rsid w:val="002B4223"/>
    <w:rsid w:val="002B61EE"/>
    <w:rsid w:val="002C09C4"/>
    <w:rsid w:val="002C0AC3"/>
    <w:rsid w:val="002C1349"/>
    <w:rsid w:val="002C26D9"/>
    <w:rsid w:val="002C6BF2"/>
    <w:rsid w:val="002C7E5D"/>
    <w:rsid w:val="002D127F"/>
    <w:rsid w:val="002D3338"/>
    <w:rsid w:val="002D58A5"/>
    <w:rsid w:val="002D5EA9"/>
    <w:rsid w:val="002D63E9"/>
    <w:rsid w:val="002D6EAA"/>
    <w:rsid w:val="002D71B5"/>
    <w:rsid w:val="002D7C30"/>
    <w:rsid w:val="002E0E9D"/>
    <w:rsid w:val="002E2051"/>
    <w:rsid w:val="002E2346"/>
    <w:rsid w:val="002E2636"/>
    <w:rsid w:val="002E2C8B"/>
    <w:rsid w:val="002E44CE"/>
    <w:rsid w:val="002E5FAF"/>
    <w:rsid w:val="002E6A53"/>
    <w:rsid w:val="002F00B8"/>
    <w:rsid w:val="002F4CAA"/>
    <w:rsid w:val="002F7550"/>
    <w:rsid w:val="002F77E4"/>
    <w:rsid w:val="002F7B8F"/>
    <w:rsid w:val="003010CC"/>
    <w:rsid w:val="00303D61"/>
    <w:rsid w:val="00303DD7"/>
    <w:rsid w:val="00304BA0"/>
    <w:rsid w:val="00305DF7"/>
    <w:rsid w:val="00306D15"/>
    <w:rsid w:val="00312CF8"/>
    <w:rsid w:val="00314367"/>
    <w:rsid w:val="00314578"/>
    <w:rsid w:val="00314BAF"/>
    <w:rsid w:val="00315CDB"/>
    <w:rsid w:val="00315EC0"/>
    <w:rsid w:val="00317FF6"/>
    <w:rsid w:val="00320B88"/>
    <w:rsid w:val="003213DA"/>
    <w:rsid w:val="00325505"/>
    <w:rsid w:val="00333D15"/>
    <w:rsid w:val="003351DE"/>
    <w:rsid w:val="00335F54"/>
    <w:rsid w:val="003374FC"/>
    <w:rsid w:val="00341EDC"/>
    <w:rsid w:val="00343462"/>
    <w:rsid w:val="003436BC"/>
    <w:rsid w:val="00351031"/>
    <w:rsid w:val="0035241C"/>
    <w:rsid w:val="00354DA8"/>
    <w:rsid w:val="00355FE7"/>
    <w:rsid w:val="0035782D"/>
    <w:rsid w:val="00357FB4"/>
    <w:rsid w:val="00362087"/>
    <w:rsid w:val="0036262D"/>
    <w:rsid w:val="003725B7"/>
    <w:rsid w:val="00376088"/>
    <w:rsid w:val="00376F90"/>
    <w:rsid w:val="003770DA"/>
    <w:rsid w:val="00377ADD"/>
    <w:rsid w:val="00380ABF"/>
    <w:rsid w:val="00380EE2"/>
    <w:rsid w:val="00381302"/>
    <w:rsid w:val="00383084"/>
    <w:rsid w:val="00383C14"/>
    <w:rsid w:val="00383E5E"/>
    <w:rsid w:val="003854FB"/>
    <w:rsid w:val="003862BB"/>
    <w:rsid w:val="003918F7"/>
    <w:rsid w:val="00391D44"/>
    <w:rsid w:val="00392C40"/>
    <w:rsid w:val="00392EB7"/>
    <w:rsid w:val="00393059"/>
    <w:rsid w:val="00394E81"/>
    <w:rsid w:val="00396246"/>
    <w:rsid w:val="003967A5"/>
    <w:rsid w:val="003A00E3"/>
    <w:rsid w:val="003A0AED"/>
    <w:rsid w:val="003A35C4"/>
    <w:rsid w:val="003A37CA"/>
    <w:rsid w:val="003A3DF2"/>
    <w:rsid w:val="003A4E57"/>
    <w:rsid w:val="003A521B"/>
    <w:rsid w:val="003B12B8"/>
    <w:rsid w:val="003B1322"/>
    <w:rsid w:val="003B1A0B"/>
    <w:rsid w:val="003B1E9D"/>
    <w:rsid w:val="003B3869"/>
    <w:rsid w:val="003B4485"/>
    <w:rsid w:val="003B4DD5"/>
    <w:rsid w:val="003B5F90"/>
    <w:rsid w:val="003B6561"/>
    <w:rsid w:val="003C10B3"/>
    <w:rsid w:val="003C20D1"/>
    <w:rsid w:val="003C3456"/>
    <w:rsid w:val="003C3653"/>
    <w:rsid w:val="003C4646"/>
    <w:rsid w:val="003C5EDD"/>
    <w:rsid w:val="003D0F8D"/>
    <w:rsid w:val="003D10C2"/>
    <w:rsid w:val="003E0B1D"/>
    <w:rsid w:val="003E3F5C"/>
    <w:rsid w:val="003E5675"/>
    <w:rsid w:val="003E66F8"/>
    <w:rsid w:val="003E7430"/>
    <w:rsid w:val="003F0C94"/>
    <w:rsid w:val="003F300C"/>
    <w:rsid w:val="003F44AD"/>
    <w:rsid w:val="003F4CF1"/>
    <w:rsid w:val="003F5289"/>
    <w:rsid w:val="003F7D84"/>
    <w:rsid w:val="00400958"/>
    <w:rsid w:val="00402A6D"/>
    <w:rsid w:val="004034DB"/>
    <w:rsid w:val="00403775"/>
    <w:rsid w:val="0040673C"/>
    <w:rsid w:val="00407291"/>
    <w:rsid w:val="004114E9"/>
    <w:rsid w:val="004119FB"/>
    <w:rsid w:val="00411FBA"/>
    <w:rsid w:val="00413750"/>
    <w:rsid w:val="0041390F"/>
    <w:rsid w:val="004147F6"/>
    <w:rsid w:val="0041498F"/>
    <w:rsid w:val="00415389"/>
    <w:rsid w:val="004172C3"/>
    <w:rsid w:val="0042010A"/>
    <w:rsid w:val="004201E1"/>
    <w:rsid w:val="00421088"/>
    <w:rsid w:val="0042155D"/>
    <w:rsid w:val="0042169D"/>
    <w:rsid w:val="00421B2C"/>
    <w:rsid w:val="00422D55"/>
    <w:rsid w:val="0042319F"/>
    <w:rsid w:val="00424CDC"/>
    <w:rsid w:val="00425294"/>
    <w:rsid w:val="004252A8"/>
    <w:rsid w:val="004258B7"/>
    <w:rsid w:val="00431A82"/>
    <w:rsid w:val="004321AF"/>
    <w:rsid w:val="00433A12"/>
    <w:rsid w:val="004346B0"/>
    <w:rsid w:val="004364A6"/>
    <w:rsid w:val="004368B1"/>
    <w:rsid w:val="00436E8E"/>
    <w:rsid w:val="004402C1"/>
    <w:rsid w:val="00440668"/>
    <w:rsid w:val="004421CC"/>
    <w:rsid w:val="00444780"/>
    <w:rsid w:val="00451D27"/>
    <w:rsid w:val="0045228C"/>
    <w:rsid w:val="0045568F"/>
    <w:rsid w:val="00456271"/>
    <w:rsid w:val="004565F5"/>
    <w:rsid w:val="00456CB9"/>
    <w:rsid w:val="004579BD"/>
    <w:rsid w:val="00457B53"/>
    <w:rsid w:val="004609D9"/>
    <w:rsid w:val="00463827"/>
    <w:rsid w:val="004645E7"/>
    <w:rsid w:val="00464E65"/>
    <w:rsid w:val="00466F83"/>
    <w:rsid w:val="00473B46"/>
    <w:rsid w:val="00477D64"/>
    <w:rsid w:val="0048061C"/>
    <w:rsid w:val="00481F5E"/>
    <w:rsid w:val="00482550"/>
    <w:rsid w:val="004837EC"/>
    <w:rsid w:val="00484627"/>
    <w:rsid w:val="00485EC3"/>
    <w:rsid w:val="00486979"/>
    <w:rsid w:val="0048742B"/>
    <w:rsid w:val="00487D4F"/>
    <w:rsid w:val="0049076F"/>
    <w:rsid w:val="00492390"/>
    <w:rsid w:val="004933D9"/>
    <w:rsid w:val="00493E76"/>
    <w:rsid w:val="004941A7"/>
    <w:rsid w:val="00497076"/>
    <w:rsid w:val="00497231"/>
    <w:rsid w:val="004A12E8"/>
    <w:rsid w:val="004A170C"/>
    <w:rsid w:val="004A178A"/>
    <w:rsid w:val="004A365E"/>
    <w:rsid w:val="004A55D3"/>
    <w:rsid w:val="004A5978"/>
    <w:rsid w:val="004A7621"/>
    <w:rsid w:val="004B0E46"/>
    <w:rsid w:val="004B16D4"/>
    <w:rsid w:val="004B3DD9"/>
    <w:rsid w:val="004B41F0"/>
    <w:rsid w:val="004B54BA"/>
    <w:rsid w:val="004B5FFF"/>
    <w:rsid w:val="004C0720"/>
    <w:rsid w:val="004C1393"/>
    <w:rsid w:val="004C26F7"/>
    <w:rsid w:val="004C280F"/>
    <w:rsid w:val="004C3E11"/>
    <w:rsid w:val="004D04BB"/>
    <w:rsid w:val="004D2F22"/>
    <w:rsid w:val="004D4ACB"/>
    <w:rsid w:val="004D53D1"/>
    <w:rsid w:val="004D6916"/>
    <w:rsid w:val="004D6BC9"/>
    <w:rsid w:val="004D71D8"/>
    <w:rsid w:val="004E0339"/>
    <w:rsid w:val="004E1169"/>
    <w:rsid w:val="004E2D76"/>
    <w:rsid w:val="004E3157"/>
    <w:rsid w:val="004E3185"/>
    <w:rsid w:val="004E3DE9"/>
    <w:rsid w:val="004E5046"/>
    <w:rsid w:val="004E65DE"/>
    <w:rsid w:val="004E7AF8"/>
    <w:rsid w:val="004F153F"/>
    <w:rsid w:val="004F1C67"/>
    <w:rsid w:val="004F1D94"/>
    <w:rsid w:val="004F3516"/>
    <w:rsid w:val="004F3768"/>
    <w:rsid w:val="004F3F45"/>
    <w:rsid w:val="004F4533"/>
    <w:rsid w:val="004F7750"/>
    <w:rsid w:val="00500575"/>
    <w:rsid w:val="00501C4F"/>
    <w:rsid w:val="00502281"/>
    <w:rsid w:val="00502E1A"/>
    <w:rsid w:val="00504209"/>
    <w:rsid w:val="00504F7E"/>
    <w:rsid w:val="005075D7"/>
    <w:rsid w:val="00510804"/>
    <w:rsid w:val="0051261A"/>
    <w:rsid w:val="00513A12"/>
    <w:rsid w:val="00514334"/>
    <w:rsid w:val="0051468B"/>
    <w:rsid w:val="00514CDE"/>
    <w:rsid w:val="00516543"/>
    <w:rsid w:val="0052599B"/>
    <w:rsid w:val="00527132"/>
    <w:rsid w:val="00530CE4"/>
    <w:rsid w:val="00532FCF"/>
    <w:rsid w:val="005334C6"/>
    <w:rsid w:val="00535D63"/>
    <w:rsid w:val="00537AF9"/>
    <w:rsid w:val="0054004B"/>
    <w:rsid w:val="005405DB"/>
    <w:rsid w:val="00540A39"/>
    <w:rsid w:val="00540BE4"/>
    <w:rsid w:val="0054109C"/>
    <w:rsid w:val="005435A9"/>
    <w:rsid w:val="00545D9E"/>
    <w:rsid w:val="00546A66"/>
    <w:rsid w:val="00550005"/>
    <w:rsid w:val="00550941"/>
    <w:rsid w:val="005540EF"/>
    <w:rsid w:val="00555428"/>
    <w:rsid w:val="005555DF"/>
    <w:rsid w:val="00560FE8"/>
    <w:rsid w:val="005619CD"/>
    <w:rsid w:val="00561D3E"/>
    <w:rsid w:val="00563E5D"/>
    <w:rsid w:val="00564676"/>
    <w:rsid w:val="00570516"/>
    <w:rsid w:val="00573EAF"/>
    <w:rsid w:val="00574987"/>
    <w:rsid w:val="00575242"/>
    <w:rsid w:val="00575A2F"/>
    <w:rsid w:val="0057664E"/>
    <w:rsid w:val="00577A53"/>
    <w:rsid w:val="005803B7"/>
    <w:rsid w:val="00580984"/>
    <w:rsid w:val="00584457"/>
    <w:rsid w:val="0058464E"/>
    <w:rsid w:val="005905E8"/>
    <w:rsid w:val="0059159B"/>
    <w:rsid w:val="0059700D"/>
    <w:rsid w:val="005A083C"/>
    <w:rsid w:val="005A107F"/>
    <w:rsid w:val="005A15D0"/>
    <w:rsid w:val="005A495C"/>
    <w:rsid w:val="005A528E"/>
    <w:rsid w:val="005A52D9"/>
    <w:rsid w:val="005A540C"/>
    <w:rsid w:val="005A5D6F"/>
    <w:rsid w:val="005A6D0E"/>
    <w:rsid w:val="005A79B9"/>
    <w:rsid w:val="005B0255"/>
    <w:rsid w:val="005B05B5"/>
    <w:rsid w:val="005B4686"/>
    <w:rsid w:val="005C2488"/>
    <w:rsid w:val="005C2B21"/>
    <w:rsid w:val="005C4087"/>
    <w:rsid w:val="005C463E"/>
    <w:rsid w:val="005C4AE7"/>
    <w:rsid w:val="005D172E"/>
    <w:rsid w:val="005D17E6"/>
    <w:rsid w:val="005D2385"/>
    <w:rsid w:val="005D2E06"/>
    <w:rsid w:val="005D307D"/>
    <w:rsid w:val="005D3D68"/>
    <w:rsid w:val="005E1586"/>
    <w:rsid w:val="005E1631"/>
    <w:rsid w:val="005E260A"/>
    <w:rsid w:val="005E2964"/>
    <w:rsid w:val="005E60FB"/>
    <w:rsid w:val="005E6266"/>
    <w:rsid w:val="005F2512"/>
    <w:rsid w:val="005F2891"/>
    <w:rsid w:val="005F5F5A"/>
    <w:rsid w:val="0060012D"/>
    <w:rsid w:val="00600182"/>
    <w:rsid w:val="00600260"/>
    <w:rsid w:val="00600A5F"/>
    <w:rsid w:val="00601AE0"/>
    <w:rsid w:val="0060266D"/>
    <w:rsid w:val="006037C8"/>
    <w:rsid w:val="006042F4"/>
    <w:rsid w:val="00611B17"/>
    <w:rsid w:val="00614756"/>
    <w:rsid w:val="00615437"/>
    <w:rsid w:val="00615D93"/>
    <w:rsid w:val="00622099"/>
    <w:rsid w:val="00623509"/>
    <w:rsid w:val="006275B7"/>
    <w:rsid w:val="00631C28"/>
    <w:rsid w:val="006338DE"/>
    <w:rsid w:val="00634723"/>
    <w:rsid w:val="00636380"/>
    <w:rsid w:val="00636E36"/>
    <w:rsid w:val="00637ADA"/>
    <w:rsid w:val="00641658"/>
    <w:rsid w:val="00641E47"/>
    <w:rsid w:val="006433A2"/>
    <w:rsid w:val="00643617"/>
    <w:rsid w:val="006447BA"/>
    <w:rsid w:val="006505E8"/>
    <w:rsid w:val="006509D6"/>
    <w:rsid w:val="00651FF5"/>
    <w:rsid w:val="00653032"/>
    <w:rsid w:val="00654A45"/>
    <w:rsid w:val="006565B5"/>
    <w:rsid w:val="00656624"/>
    <w:rsid w:val="0066054F"/>
    <w:rsid w:val="00661F16"/>
    <w:rsid w:val="00662A65"/>
    <w:rsid w:val="00662C99"/>
    <w:rsid w:val="00663285"/>
    <w:rsid w:val="0066448C"/>
    <w:rsid w:val="0066550E"/>
    <w:rsid w:val="00666A10"/>
    <w:rsid w:val="00666BB5"/>
    <w:rsid w:val="00671EA4"/>
    <w:rsid w:val="006726C3"/>
    <w:rsid w:val="00672EF7"/>
    <w:rsid w:val="00673750"/>
    <w:rsid w:val="0068026E"/>
    <w:rsid w:val="006819AC"/>
    <w:rsid w:val="00681A9E"/>
    <w:rsid w:val="0068400E"/>
    <w:rsid w:val="00685B4B"/>
    <w:rsid w:val="00687088"/>
    <w:rsid w:val="0069079C"/>
    <w:rsid w:val="00693A98"/>
    <w:rsid w:val="00694CC3"/>
    <w:rsid w:val="00696201"/>
    <w:rsid w:val="006A14C7"/>
    <w:rsid w:val="006A2644"/>
    <w:rsid w:val="006A31D7"/>
    <w:rsid w:val="006A3CAA"/>
    <w:rsid w:val="006A480F"/>
    <w:rsid w:val="006A4BB1"/>
    <w:rsid w:val="006A4C98"/>
    <w:rsid w:val="006A69BA"/>
    <w:rsid w:val="006A7498"/>
    <w:rsid w:val="006A780A"/>
    <w:rsid w:val="006B0A8F"/>
    <w:rsid w:val="006B0B6C"/>
    <w:rsid w:val="006B4229"/>
    <w:rsid w:val="006B6467"/>
    <w:rsid w:val="006B658E"/>
    <w:rsid w:val="006B792A"/>
    <w:rsid w:val="006C1294"/>
    <w:rsid w:val="006C6BFE"/>
    <w:rsid w:val="006C7792"/>
    <w:rsid w:val="006D509E"/>
    <w:rsid w:val="006D627A"/>
    <w:rsid w:val="006D6600"/>
    <w:rsid w:val="006D6788"/>
    <w:rsid w:val="006D6B92"/>
    <w:rsid w:val="006E0546"/>
    <w:rsid w:val="006E36D2"/>
    <w:rsid w:val="006E565F"/>
    <w:rsid w:val="006E7763"/>
    <w:rsid w:val="006F076D"/>
    <w:rsid w:val="006F13AD"/>
    <w:rsid w:val="006F1499"/>
    <w:rsid w:val="006F32AA"/>
    <w:rsid w:val="006F6DBB"/>
    <w:rsid w:val="0070169B"/>
    <w:rsid w:val="00702288"/>
    <w:rsid w:val="007026CF"/>
    <w:rsid w:val="0070412F"/>
    <w:rsid w:val="00706240"/>
    <w:rsid w:val="00710A00"/>
    <w:rsid w:val="007135BF"/>
    <w:rsid w:val="00713A3C"/>
    <w:rsid w:val="00715ADF"/>
    <w:rsid w:val="00716379"/>
    <w:rsid w:val="007171F0"/>
    <w:rsid w:val="0072076C"/>
    <w:rsid w:val="00720961"/>
    <w:rsid w:val="00720A78"/>
    <w:rsid w:val="00721C8C"/>
    <w:rsid w:val="007265DB"/>
    <w:rsid w:val="00727759"/>
    <w:rsid w:val="00727E87"/>
    <w:rsid w:val="007305EF"/>
    <w:rsid w:val="00731683"/>
    <w:rsid w:val="00731D1E"/>
    <w:rsid w:val="00732A10"/>
    <w:rsid w:val="00734927"/>
    <w:rsid w:val="00735375"/>
    <w:rsid w:val="00736178"/>
    <w:rsid w:val="00736397"/>
    <w:rsid w:val="00741AF3"/>
    <w:rsid w:val="0074254D"/>
    <w:rsid w:val="007426A1"/>
    <w:rsid w:val="00744986"/>
    <w:rsid w:val="00745EB3"/>
    <w:rsid w:val="00745F00"/>
    <w:rsid w:val="00747E4D"/>
    <w:rsid w:val="00751BA0"/>
    <w:rsid w:val="007556FA"/>
    <w:rsid w:val="00756B8F"/>
    <w:rsid w:val="00760352"/>
    <w:rsid w:val="00760E0D"/>
    <w:rsid w:val="0076303F"/>
    <w:rsid w:val="00766BB2"/>
    <w:rsid w:val="00767D02"/>
    <w:rsid w:val="00772C5F"/>
    <w:rsid w:val="00773442"/>
    <w:rsid w:val="00773993"/>
    <w:rsid w:val="007742C9"/>
    <w:rsid w:val="007762BF"/>
    <w:rsid w:val="00776514"/>
    <w:rsid w:val="0077677A"/>
    <w:rsid w:val="007821CE"/>
    <w:rsid w:val="007830B8"/>
    <w:rsid w:val="007844BA"/>
    <w:rsid w:val="00785C0C"/>
    <w:rsid w:val="00785FE1"/>
    <w:rsid w:val="00786271"/>
    <w:rsid w:val="00786601"/>
    <w:rsid w:val="00786781"/>
    <w:rsid w:val="00786B76"/>
    <w:rsid w:val="0078750D"/>
    <w:rsid w:val="00792FCC"/>
    <w:rsid w:val="00796082"/>
    <w:rsid w:val="00796B86"/>
    <w:rsid w:val="00797813"/>
    <w:rsid w:val="007978A6"/>
    <w:rsid w:val="007A0D9C"/>
    <w:rsid w:val="007A11B3"/>
    <w:rsid w:val="007A27BB"/>
    <w:rsid w:val="007A3508"/>
    <w:rsid w:val="007A44AE"/>
    <w:rsid w:val="007A4EA3"/>
    <w:rsid w:val="007A5243"/>
    <w:rsid w:val="007B044A"/>
    <w:rsid w:val="007B3E72"/>
    <w:rsid w:val="007B42AB"/>
    <w:rsid w:val="007B4B8E"/>
    <w:rsid w:val="007B5EC1"/>
    <w:rsid w:val="007B71F5"/>
    <w:rsid w:val="007C17EA"/>
    <w:rsid w:val="007C1CBD"/>
    <w:rsid w:val="007C2B52"/>
    <w:rsid w:val="007C45AA"/>
    <w:rsid w:val="007C5A42"/>
    <w:rsid w:val="007C6649"/>
    <w:rsid w:val="007C6E00"/>
    <w:rsid w:val="007D1DDB"/>
    <w:rsid w:val="007E1444"/>
    <w:rsid w:val="007E1512"/>
    <w:rsid w:val="007E1D53"/>
    <w:rsid w:val="007E25D4"/>
    <w:rsid w:val="007E353F"/>
    <w:rsid w:val="007E35C9"/>
    <w:rsid w:val="007E4CBA"/>
    <w:rsid w:val="007E5328"/>
    <w:rsid w:val="007E6133"/>
    <w:rsid w:val="007E734D"/>
    <w:rsid w:val="007E794C"/>
    <w:rsid w:val="007F0700"/>
    <w:rsid w:val="007F4B32"/>
    <w:rsid w:val="007F4FEF"/>
    <w:rsid w:val="007F5B84"/>
    <w:rsid w:val="007F6EDC"/>
    <w:rsid w:val="007F70F2"/>
    <w:rsid w:val="007F7CA1"/>
    <w:rsid w:val="0080040E"/>
    <w:rsid w:val="0080085C"/>
    <w:rsid w:val="00800A11"/>
    <w:rsid w:val="008012F9"/>
    <w:rsid w:val="00802C98"/>
    <w:rsid w:val="00803D8F"/>
    <w:rsid w:val="00806C38"/>
    <w:rsid w:val="00806DE9"/>
    <w:rsid w:val="00807CFB"/>
    <w:rsid w:val="00807F14"/>
    <w:rsid w:val="008119D5"/>
    <w:rsid w:val="0081233B"/>
    <w:rsid w:val="00813493"/>
    <w:rsid w:val="00814082"/>
    <w:rsid w:val="008151E3"/>
    <w:rsid w:val="00822DE3"/>
    <w:rsid w:val="0082764E"/>
    <w:rsid w:val="00830443"/>
    <w:rsid w:val="00830AE5"/>
    <w:rsid w:val="00831C1A"/>
    <w:rsid w:val="008320D1"/>
    <w:rsid w:val="008336E2"/>
    <w:rsid w:val="0083703A"/>
    <w:rsid w:val="008413E8"/>
    <w:rsid w:val="00842AA3"/>
    <w:rsid w:val="0084380E"/>
    <w:rsid w:val="00845718"/>
    <w:rsid w:val="008479B0"/>
    <w:rsid w:val="00850B3E"/>
    <w:rsid w:val="008516F5"/>
    <w:rsid w:val="00852415"/>
    <w:rsid w:val="00852523"/>
    <w:rsid w:val="00852662"/>
    <w:rsid w:val="008531E7"/>
    <w:rsid w:val="00853E54"/>
    <w:rsid w:val="00857105"/>
    <w:rsid w:val="00857A45"/>
    <w:rsid w:val="008607ED"/>
    <w:rsid w:val="00861979"/>
    <w:rsid w:val="0086277C"/>
    <w:rsid w:val="008629DF"/>
    <w:rsid w:val="00867318"/>
    <w:rsid w:val="00870ACD"/>
    <w:rsid w:val="00872894"/>
    <w:rsid w:val="00874F38"/>
    <w:rsid w:val="00876FD9"/>
    <w:rsid w:val="00884268"/>
    <w:rsid w:val="00886CA6"/>
    <w:rsid w:val="008874C4"/>
    <w:rsid w:val="00892E67"/>
    <w:rsid w:val="00895FBD"/>
    <w:rsid w:val="0089695C"/>
    <w:rsid w:val="0089752D"/>
    <w:rsid w:val="00897EC7"/>
    <w:rsid w:val="008A361A"/>
    <w:rsid w:val="008A57B5"/>
    <w:rsid w:val="008A6B57"/>
    <w:rsid w:val="008A6D0D"/>
    <w:rsid w:val="008A6D23"/>
    <w:rsid w:val="008B27DC"/>
    <w:rsid w:val="008B3161"/>
    <w:rsid w:val="008B687B"/>
    <w:rsid w:val="008C1AF8"/>
    <w:rsid w:val="008C2B4E"/>
    <w:rsid w:val="008C403B"/>
    <w:rsid w:val="008C42B2"/>
    <w:rsid w:val="008C5136"/>
    <w:rsid w:val="008D1398"/>
    <w:rsid w:val="008D2095"/>
    <w:rsid w:val="008D407E"/>
    <w:rsid w:val="008D47B8"/>
    <w:rsid w:val="008D4D5C"/>
    <w:rsid w:val="008D6B04"/>
    <w:rsid w:val="008D71EC"/>
    <w:rsid w:val="008D77E5"/>
    <w:rsid w:val="008E2246"/>
    <w:rsid w:val="008E2ED8"/>
    <w:rsid w:val="008E2F16"/>
    <w:rsid w:val="008E3695"/>
    <w:rsid w:val="008E37BE"/>
    <w:rsid w:val="008E3AF3"/>
    <w:rsid w:val="008E5699"/>
    <w:rsid w:val="008E69DB"/>
    <w:rsid w:val="008E72A4"/>
    <w:rsid w:val="008F03A9"/>
    <w:rsid w:val="008F1004"/>
    <w:rsid w:val="008F12B1"/>
    <w:rsid w:val="008F45A4"/>
    <w:rsid w:val="008F4813"/>
    <w:rsid w:val="008F6056"/>
    <w:rsid w:val="009058F5"/>
    <w:rsid w:val="00906CEE"/>
    <w:rsid w:val="00907ABB"/>
    <w:rsid w:val="00913232"/>
    <w:rsid w:val="00916298"/>
    <w:rsid w:val="00920CB5"/>
    <w:rsid w:val="00922172"/>
    <w:rsid w:val="00922F22"/>
    <w:rsid w:val="009268CA"/>
    <w:rsid w:val="00926DF0"/>
    <w:rsid w:val="00927559"/>
    <w:rsid w:val="00927EA9"/>
    <w:rsid w:val="009304F5"/>
    <w:rsid w:val="009341C2"/>
    <w:rsid w:val="0093724D"/>
    <w:rsid w:val="00940D0E"/>
    <w:rsid w:val="009413F0"/>
    <w:rsid w:val="009415AD"/>
    <w:rsid w:val="0094364C"/>
    <w:rsid w:val="00944583"/>
    <w:rsid w:val="00944B3D"/>
    <w:rsid w:val="00945C42"/>
    <w:rsid w:val="009464D6"/>
    <w:rsid w:val="00946CEE"/>
    <w:rsid w:val="00950452"/>
    <w:rsid w:val="009537D4"/>
    <w:rsid w:val="00954473"/>
    <w:rsid w:val="00956662"/>
    <w:rsid w:val="00957BE9"/>
    <w:rsid w:val="00960BFB"/>
    <w:rsid w:val="0096484F"/>
    <w:rsid w:val="00964AA1"/>
    <w:rsid w:val="00965E60"/>
    <w:rsid w:val="00966615"/>
    <w:rsid w:val="00966A87"/>
    <w:rsid w:val="00966F05"/>
    <w:rsid w:val="009705B8"/>
    <w:rsid w:val="00971756"/>
    <w:rsid w:val="00972761"/>
    <w:rsid w:val="00972814"/>
    <w:rsid w:val="009737E5"/>
    <w:rsid w:val="0098021E"/>
    <w:rsid w:val="009805CF"/>
    <w:rsid w:val="009829B2"/>
    <w:rsid w:val="009834BF"/>
    <w:rsid w:val="00984DE3"/>
    <w:rsid w:val="00985FF5"/>
    <w:rsid w:val="00986E72"/>
    <w:rsid w:val="009870FC"/>
    <w:rsid w:val="00987FB6"/>
    <w:rsid w:val="0099013D"/>
    <w:rsid w:val="00991AA2"/>
    <w:rsid w:val="009922D0"/>
    <w:rsid w:val="0099283B"/>
    <w:rsid w:val="009951CB"/>
    <w:rsid w:val="009A05BF"/>
    <w:rsid w:val="009A0DEB"/>
    <w:rsid w:val="009A17D8"/>
    <w:rsid w:val="009A1D60"/>
    <w:rsid w:val="009A5467"/>
    <w:rsid w:val="009A79CE"/>
    <w:rsid w:val="009B0C03"/>
    <w:rsid w:val="009B232A"/>
    <w:rsid w:val="009B2366"/>
    <w:rsid w:val="009B2B4F"/>
    <w:rsid w:val="009B3114"/>
    <w:rsid w:val="009B314A"/>
    <w:rsid w:val="009B3ED9"/>
    <w:rsid w:val="009B4E7E"/>
    <w:rsid w:val="009B62D3"/>
    <w:rsid w:val="009B6B26"/>
    <w:rsid w:val="009B7268"/>
    <w:rsid w:val="009C0A01"/>
    <w:rsid w:val="009C568E"/>
    <w:rsid w:val="009C7C0B"/>
    <w:rsid w:val="009D09D0"/>
    <w:rsid w:val="009D10EE"/>
    <w:rsid w:val="009D1D74"/>
    <w:rsid w:val="009D2DA1"/>
    <w:rsid w:val="009D3320"/>
    <w:rsid w:val="009D3CE7"/>
    <w:rsid w:val="009E0257"/>
    <w:rsid w:val="009E0B11"/>
    <w:rsid w:val="009E1788"/>
    <w:rsid w:val="009E1C6E"/>
    <w:rsid w:val="009E4791"/>
    <w:rsid w:val="009E4F6D"/>
    <w:rsid w:val="009E6D0B"/>
    <w:rsid w:val="009E6FA0"/>
    <w:rsid w:val="009E773A"/>
    <w:rsid w:val="009F1556"/>
    <w:rsid w:val="009F61A1"/>
    <w:rsid w:val="009F6D03"/>
    <w:rsid w:val="009F6E59"/>
    <w:rsid w:val="009F7F86"/>
    <w:rsid w:val="00A026ED"/>
    <w:rsid w:val="00A03037"/>
    <w:rsid w:val="00A031AE"/>
    <w:rsid w:val="00A040FB"/>
    <w:rsid w:val="00A04767"/>
    <w:rsid w:val="00A04F4D"/>
    <w:rsid w:val="00A05062"/>
    <w:rsid w:val="00A05D82"/>
    <w:rsid w:val="00A06F94"/>
    <w:rsid w:val="00A113EC"/>
    <w:rsid w:val="00A14769"/>
    <w:rsid w:val="00A1562A"/>
    <w:rsid w:val="00A163CB"/>
    <w:rsid w:val="00A16D2F"/>
    <w:rsid w:val="00A17227"/>
    <w:rsid w:val="00A1761B"/>
    <w:rsid w:val="00A17C03"/>
    <w:rsid w:val="00A17E98"/>
    <w:rsid w:val="00A20762"/>
    <w:rsid w:val="00A22B13"/>
    <w:rsid w:val="00A22EAB"/>
    <w:rsid w:val="00A23121"/>
    <w:rsid w:val="00A24523"/>
    <w:rsid w:val="00A26906"/>
    <w:rsid w:val="00A313A1"/>
    <w:rsid w:val="00A32786"/>
    <w:rsid w:val="00A33F43"/>
    <w:rsid w:val="00A35064"/>
    <w:rsid w:val="00A35640"/>
    <w:rsid w:val="00A35E85"/>
    <w:rsid w:val="00A3710E"/>
    <w:rsid w:val="00A375DE"/>
    <w:rsid w:val="00A4113E"/>
    <w:rsid w:val="00A41ADF"/>
    <w:rsid w:val="00A42279"/>
    <w:rsid w:val="00A42757"/>
    <w:rsid w:val="00A42F79"/>
    <w:rsid w:val="00A43BA7"/>
    <w:rsid w:val="00A44446"/>
    <w:rsid w:val="00A44CC3"/>
    <w:rsid w:val="00A455C2"/>
    <w:rsid w:val="00A466E4"/>
    <w:rsid w:val="00A510BA"/>
    <w:rsid w:val="00A523E5"/>
    <w:rsid w:val="00A52C17"/>
    <w:rsid w:val="00A53037"/>
    <w:rsid w:val="00A54685"/>
    <w:rsid w:val="00A55AAE"/>
    <w:rsid w:val="00A5712E"/>
    <w:rsid w:val="00A60099"/>
    <w:rsid w:val="00A6011C"/>
    <w:rsid w:val="00A608BA"/>
    <w:rsid w:val="00A62261"/>
    <w:rsid w:val="00A63510"/>
    <w:rsid w:val="00A659DB"/>
    <w:rsid w:val="00A70112"/>
    <w:rsid w:val="00A72988"/>
    <w:rsid w:val="00A732E0"/>
    <w:rsid w:val="00A73A7D"/>
    <w:rsid w:val="00A74B29"/>
    <w:rsid w:val="00A844A8"/>
    <w:rsid w:val="00A852D6"/>
    <w:rsid w:val="00A859B7"/>
    <w:rsid w:val="00A86622"/>
    <w:rsid w:val="00A87EC7"/>
    <w:rsid w:val="00A87FB8"/>
    <w:rsid w:val="00A908A6"/>
    <w:rsid w:val="00A92189"/>
    <w:rsid w:val="00A95BC5"/>
    <w:rsid w:val="00A966BE"/>
    <w:rsid w:val="00A96D7C"/>
    <w:rsid w:val="00AA34F3"/>
    <w:rsid w:val="00AB0791"/>
    <w:rsid w:val="00AB17D8"/>
    <w:rsid w:val="00AB46AC"/>
    <w:rsid w:val="00AB4D3C"/>
    <w:rsid w:val="00AB533B"/>
    <w:rsid w:val="00AB60C3"/>
    <w:rsid w:val="00AB6887"/>
    <w:rsid w:val="00AB7AF0"/>
    <w:rsid w:val="00AC0492"/>
    <w:rsid w:val="00AC05C5"/>
    <w:rsid w:val="00AC0FBE"/>
    <w:rsid w:val="00AC12B4"/>
    <w:rsid w:val="00AC4DA7"/>
    <w:rsid w:val="00AC5D92"/>
    <w:rsid w:val="00AC6A8D"/>
    <w:rsid w:val="00AC79F3"/>
    <w:rsid w:val="00AD05F4"/>
    <w:rsid w:val="00AD1340"/>
    <w:rsid w:val="00AD56DD"/>
    <w:rsid w:val="00AD62FC"/>
    <w:rsid w:val="00AD74BC"/>
    <w:rsid w:val="00AE14AB"/>
    <w:rsid w:val="00AE14EB"/>
    <w:rsid w:val="00AE2942"/>
    <w:rsid w:val="00AE48B6"/>
    <w:rsid w:val="00AE4A33"/>
    <w:rsid w:val="00AE6658"/>
    <w:rsid w:val="00AE6952"/>
    <w:rsid w:val="00AF0382"/>
    <w:rsid w:val="00AF129E"/>
    <w:rsid w:val="00AF2D39"/>
    <w:rsid w:val="00AF400E"/>
    <w:rsid w:val="00AF6906"/>
    <w:rsid w:val="00AF7828"/>
    <w:rsid w:val="00B01DD1"/>
    <w:rsid w:val="00B02D2F"/>
    <w:rsid w:val="00B04E44"/>
    <w:rsid w:val="00B05598"/>
    <w:rsid w:val="00B05A96"/>
    <w:rsid w:val="00B07436"/>
    <w:rsid w:val="00B10AEB"/>
    <w:rsid w:val="00B13F32"/>
    <w:rsid w:val="00B145F0"/>
    <w:rsid w:val="00B1495B"/>
    <w:rsid w:val="00B17FF3"/>
    <w:rsid w:val="00B21F7B"/>
    <w:rsid w:val="00B2201A"/>
    <w:rsid w:val="00B22DE3"/>
    <w:rsid w:val="00B23FED"/>
    <w:rsid w:val="00B262B0"/>
    <w:rsid w:val="00B30601"/>
    <w:rsid w:val="00B344AA"/>
    <w:rsid w:val="00B355D7"/>
    <w:rsid w:val="00B372AF"/>
    <w:rsid w:val="00B3755C"/>
    <w:rsid w:val="00B42DE2"/>
    <w:rsid w:val="00B466A7"/>
    <w:rsid w:val="00B46BA0"/>
    <w:rsid w:val="00B50DAD"/>
    <w:rsid w:val="00B51AB9"/>
    <w:rsid w:val="00B52331"/>
    <w:rsid w:val="00B52BFE"/>
    <w:rsid w:val="00B54220"/>
    <w:rsid w:val="00B55E49"/>
    <w:rsid w:val="00B56A00"/>
    <w:rsid w:val="00B60106"/>
    <w:rsid w:val="00B63096"/>
    <w:rsid w:val="00B645B3"/>
    <w:rsid w:val="00B65E4D"/>
    <w:rsid w:val="00B70209"/>
    <w:rsid w:val="00B70369"/>
    <w:rsid w:val="00B714E7"/>
    <w:rsid w:val="00B730D4"/>
    <w:rsid w:val="00B737C2"/>
    <w:rsid w:val="00B75401"/>
    <w:rsid w:val="00B761AE"/>
    <w:rsid w:val="00B76499"/>
    <w:rsid w:val="00B80C64"/>
    <w:rsid w:val="00B8230D"/>
    <w:rsid w:val="00B825A7"/>
    <w:rsid w:val="00B91372"/>
    <w:rsid w:val="00B922C3"/>
    <w:rsid w:val="00B93D01"/>
    <w:rsid w:val="00B94185"/>
    <w:rsid w:val="00B9496A"/>
    <w:rsid w:val="00B949B6"/>
    <w:rsid w:val="00B94ABD"/>
    <w:rsid w:val="00B9724B"/>
    <w:rsid w:val="00BA2C73"/>
    <w:rsid w:val="00BA45A7"/>
    <w:rsid w:val="00BB0446"/>
    <w:rsid w:val="00BB133C"/>
    <w:rsid w:val="00BB1745"/>
    <w:rsid w:val="00BB748A"/>
    <w:rsid w:val="00BC046D"/>
    <w:rsid w:val="00BC15BE"/>
    <w:rsid w:val="00BC1748"/>
    <w:rsid w:val="00BC1945"/>
    <w:rsid w:val="00BC2EFE"/>
    <w:rsid w:val="00BC39E3"/>
    <w:rsid w:val="00BC3D68"/>
    <w:rsid w:val="00BC570D"/>
    <w:rsid w:val="00BC64E4"/>
    <w:rsid w:val="00BC70A3"/>
    <w:rsid w:val="00BD0669"/>
    <w:rsid w:val="00BD07BC"/>
    <w:rsid w:val="00BD3F27"/>
    <w:rsid w:val="00BD4AC8"/>
    <w:rsid w:val="00BD5969"/>
    <w:rsid w:val="00BD748C"/>
    <w:rsid w:val="00BD78EC"/>
    <w:rsid w:val="00BD7AF9"/>
    <w:rsid w:val="00BD7C76"/>
    <w:rsid w:val="00BE04D2"/>
    <w:rsid w:val="00BE0BF3"/>
    <w:rsid w:val="00BE1952"/>
    <w:rsid w:val="00BE371C"/>
    <w:rsid w:val="00BE37FF"/>
    <w:rsid w:val="00BE5593"/>
    <w:rsid w:val="00BE6C4A"/>
    <w:rsid w:val="00BE7D93"/>
    <w:rsid w:val="00BF13D8"/>
    <w:rsid w:val="00BF1D0F"/>
    <w:rsid w:val="00BF5248"/>
    <w:rsid w:val="00BF617A"/>
    <w:rsid w:val="00BF6279"/>
    <w:rsid w:val="00BF6E8A"/>
    <w:rsid w:val="00BF7C1B"/>
    <w:rsid w:val="00C0108E"/>
    <w:rsid w:val="00C02AAA"/>
    <w:rsid w:val="00C035EF"/>
    <w:rsid w:val="00C0510C"/>
    <w:rsid w:val="00C05533"/>
    <w:rsid w:val="00C06AB6"/>
    <w:rsid w:val="00C12F32"/>
    <w:rsid w:val="00C146F2"/>
    <w:rsid w:val="00C14A28"/>
    <w:rsid w:val="00C15416"/>
    <w:rsid w:val="00C15ACA"/>
    <w:rsid w:val="00C202DF"/>
    <w:rsid w:val="00C2092A"/>
    <w:rsid w:val="00C21CEF"/>
    <w:rsid w:val="00C22303"/>
    <w:rsid w:val="00C242C6"/>
    <w:rsid w:val="00C24BC6"/>
    <w:rsid w:val="00C25A57"/>
    <w:rsid w:val="00C27719"/>
    <w:rsid w:val="00C27BA8"/>
    <w:rsid w:val="00C30E32"/>
    <w:rsid w:val="00C316A9"/>
    <w:rsid w:val="00C3309E"/>
    <w:rsid w:val="00C331A1"/>
    <w:rsid w:val="00C33711"/>
    <w:rsid w:val="00C414DA"/>
    <w:rsid w:val="00C429AC"/>
    <w:rsid w:val="00C44A9E"/>
    <w:rsid w:val="00C459DF"/>
    <w:rsid w:val="00C45BF7"/>
    <w:rsid w:val="00C45EA3"/>
    <w:rsid w:val="00C467B1"/>
    <w:rsid w:val="00C476DF"/>
    <w:rsid w:val="00C51724"/>
    <w:rsid w:val="00C534F6"/>
    <w:rsid w:val="00C5781D"/>
    <w:rsid w:val="00C60225"/>
    <w:rsid w:val="00C63CF9"/>
    <w:rsid w:val="00C65A56"/>
    <w:rsid w:val="00C71928"/>
    <w:rsid w:val="00C72E54"/>
    <w:rsid w:val="00C73C51"/>
    <w:rsid w:val="00C75066"/>
    <w:rsid w:val="00C77390"/>
    <w:rsid w:val="00C81EEC"/>
    <w:rsid w:val="00C82764"/>
    <w:rsid w:val="00C830F4"/>
    <w:rsid w:val="00C84922"/>
    <w:rsid w:val="00C84B7C"/>
    <w:rsid w:val="00C86945"/>
    <w:rsid w:val="00C923DC"/>
    <w:rsid w:val="00C9286C"/>
    <w:rsid w:val="00C93D62"/>
    <w:rsid w:val="00C94E43"/>
    <w:rsid w:val="00C96CAB"/>
    <w:rsid w:val="00C9763F"/>
    <w:rsid w:val="00CA0412"/>
    <w:rsid w:val="00CA19F8"/>
    <w:rsid w:val="00CA1F31"/>
    <w:rsid w:val="00CA31A2"/>
    <w:rsid w:val="00CA3CF4"/>
    <w:rsid w:val="00CA5F97"/>
    <w:rsid w:val="00CA6A29"/>
    <w:rsid w:val="00CA6A61"/>
    <w:rsid w:val="00CA6B05"/>
    <w:rsid w:val="00CB065C"/>
    <w:rsid w:val="00CB4259"/>
    <w:rsid w:val="00CB518B"/>
    <w:rsid w:val="00CC0830"/>
    <w:rsid w:val="00CC0977"/>
    <w:rsid w:val="00CC4410"/>
    <w:rsid w:val="00CC78FE"/>
    <w:rsid w:val="00CD0105"/>
    <w:rsid w:val="00CD0565"/>
    <w:rsid w:val="00CD13B6"/>
    <w:rsid w:val="00CD47BD"/>
    <w:rsid w:val="00CD4C5A"/>
    <w:rsid w:val="00CD6E85"/>
    <w:rsid w:val="00CD7142"/>
    <w:rsid w:val="00CE0317"/>
    <w:rsid w:val="00CE0338"/>
    <w:rsid w:val="00CE4909"/>
    <w:rsid w:val="00CE6BC1"/>
    <w:rsid w:val="00CF07AA"/>
    <w:rsid w:val="00CF2506"/>
    <w:rsid w:val="00CF5A93"/>
    <w:rsid w:val="00CF7817"/>
    <w:rsid w:val="00CF7827"/>
    <w:rsid w:val="00D00572"/>
    <w:rsid w:val="00D0082F"/>
    <w:rsid w:val="00D01363"/>
    <w:rsid w:val="00D01CD7"/>
    <w:rsid w:val="00D04A86"/>
    <w:rsid w:val="00D04CA9"/>
    <w:rsid w:val="00D06E6C"/>
    <w:rsid w:val="00D1064E"/>
    <w:rsid w:val="00D13933"/>
    <w:rsid w:val="00D1466B"/>
    <w:rsid w:val="00D20D83"/>
    <w:rsid w:val="00D2139F"/>
    <w:rsid w:val="00D2142D"/>
    <w:rsid w:val="00D229E2"/>
    <w:rsid w:val="00D22DBF"/>
    <w:rsid w:val="00D25678"/>
    <w:rsid w:val="00D25AA5"/>
    <w:rsid w:val="00D25B92"/>
    <w:rsid w:val="00D26D14"/>
    <w:rsid w:val="00D31633"/>
    <w:rsid w:val="00D31F50"/>
    <w:rsid w:val="00D32A00"/>
    <w:rsid w:val="00D349F0"/>
    <w:rsid w:val="00D35C9B"/>
    <w:rsid w:val="00D366B5"/>
    <w:rsid w:val="00D3775E"/>
    <w:rsid w:val="00D404BC"/>
    <w:rsid w:val="00D43E57"/>
    <w:rsid w:val="00D44530"/>
    <w:rsid w:val="00D47031"/>
    <w:rsid w:val="00D4750F"/>
    <w:rsid w:val="00D5186C"/>
    <w:rsid w:val="00D51F69"/>
    <w:rsid w:val="00D54AF1"/>
    <w:rsid w:val="00D54F6F"/>
    <w:rsid w:val="00D54FFD"/>
    <w:rsid w:val="00D55B02"/>
    <w:rsid w:val="00D569B7"/>
    <w:rsid w:val="00D576A3"/>
    <w:rsid w:val="00D60B4E"/>
    <w:rsid w:val="00D64358"/>
    <w:rsid w:val="00D6691B"/>
    <w:rsid w:val="00D66BA1"/>
    <w:rsid w:val="00D67196"/>
    <w:rsid w:val="00D8156B"/>
    <w:rsid w:val="00D8302E"/>
    <w:rsid w:val="00D83EBA"/>
    <w:rsid w:val="00D859B5"/>
    <w:rsid w:val="00D86D33"/>
    <w:rsid w:val="00D90730"/>
    <w:rsid w:val="00D91359"/>
    <w:rsid w:val="00D91AE1"/>
    <w:rsid w:val="00D92CB4"/>
    <w:rsid w:val="00D93903"/>
    <w:rsid w:val="00D97668"/>
    <w:rsid w:val="00DA2A00"/>
    <w:rsid w:val="00DA2C18"/>
    <w:rsid w:val="00DA2FA8"/>
    <w:rsid w:val="00DA475C"/>
    <w:rsid w:val="00DA6A71"/>
    <w:rsid w:val="00DA7477"/>
    <w:rsid w:val="00DA76AA"/>
    <w:rsid w:val="00DA79B3"/>
    <w:rsid w:val="00DB0BFB"/>
    <w:rsid w:val="00DB1E25"/>
    <w:rsid w:val="00DB408E"/>
    <w:rsid w:val="00DB6CEE"/>
    <w:rsid w:val="00DC14C3"/>
    <w:rsid w:val="00DC1780"/>
    <w:rsid w:val="00DC1F34"/>
    <w:rsid w:val="00DC2395"/>
    <w:rsid w:val="00DC36E2"/>
    <w:rsid w:val="00DC396C"/>
    <w:rsid w:val="00DC4DAB"/>
    <w:rsid w:val="00DC571B"/>
    <w:rsid w:val="00DC5E4D"/>
    <w:rsid w:val="00DC681C"/>
    <w:rsid w:val="00DC71C3"/>
    <w:rsid w:val="00DD11C9"/>
    <w:rsid w:val="00DD2136"/>
    <w:rsid w:val="00DD3A65"/>
    <w:rsid w:val="00DD48A1"/>
    <w:rsid w:val="00DD5243"/>
    <w:rsid w:val="00DD631B"/>
    <w:rsid w:val="00DE0281"/>
    <w:rsid w:val="00DE186D"/>
    <w:rsid w:val="00DE2907"/>
    <w:rsid w:val="00DE7B3D"/>
    <w:rsid w:val="00DF0EDE"/>
    <w:rsid w:val="00DF1892"/>
    <w:rsid w:val="00DF2B1A"/>
    <w:rsid w:val="00DF3789"/>
    <w:rsid w:val="00DF4577"/>
    <w:rsid w:val="00DF50AE"/>
    <w:rsid w:val="00DF74FE"/>
    <w:rsid w:val="00DF7FDC"/>
    <w:rsid w:val="00E00646"/>
    <w:rsid w:val="00E055FD"/>
    <w:rsid w:val="00E05C2E"/>
    <w:rsid w:val="00E0702E"/>
    <w:rsid w:val="00E0768C"/>
    <w:rsid w:val="00E103E3"/>
    <w:rsid w:val="00E13152"/>
    <w:rsid w:val="00E14D19"/>
    <w:rsid w:val="00E162A2"/>
    <w:rsid w:val="00E21577"/>
    <w:rsid w:val="00E221E6"/>
    <w:rsid w:val="00E2425A"/>
    <w:rsid w:val="00E25C70"/>
    <w:rsid w:val="00E30C3D"/>
    <w:rsid w:val="00E30C68"/>
    <w:rsid w:val="00E32552"/>
    <w:rsid w:val="00E32ADC"/>
    <w:rsid w:val="00E33B0B"/>
    <w:rsid w:val="00E341A7"/>
    <w:rsid w:val="00E36BB6"/>
    <w:rsid w:val="00E415B6"/>
    <w:rsid w:val="00E41FBD"/>
    <w:rsid w:val="00E425ED"/>
    <w:rsid w:val="00E44B98"/>
    <w:rsid w:val="00E45303"/>
    <w:rsid w:val="00E457D1"/>
    <w:rsid w:val="00E459C4"/>
    <w:rsid w:val="00E50335"/>
    <w:rsid w:val="00E50635"/>
    <w:rsid w:val="00E52C05"/>
    <w:rsid w:val="00E52CB9"/>
    <w:rsid w:val="00E531A2"/>
    <w:rsid w:val="00E53793"/>
    <w:rsid w:val="00E53F57"/>
    <w:rsid w:val="00E56C4C"/>
    <w:rsid w:val="00E570DE"/>
    <w:rsid w:val="00E612DA"/>
    <w:rsid w:val="00E625E2"/>
    <w:rsid w:val="00E64B78"/>
    <w:rsid w:val="00E745D3"/>
    <w:rsid w:val="00E747A2"/>
    <w:rsid w:val="00E752A1"/>
    <w:rsid w:val="00E7731F"/>
    <w:rsid w:val="00E808E5"/>
    <w:rsid w:val="00E84072"/>
    <w:rsid w:val="00E84EF9"/>
    <w:rsid w:val="00E857E8"/>
    <w:rsid w:val="00E8710A"/>
    <w:rsid w:val="00E92CF7"/>
    <w:rsid w:val="00E94459"/>
    <w:rsid w:val="00E94CD1"/>
    <w:rsid w:val="00E950E5"/>
    <w:rsid w:val="00E9603C"/>
    <w:rsid w:val="00E97A1A"/>
    <w:rsid w:val="00EA13DB"/>
    <w:rsid w:val="00EA3394"/>
    <w:rsid w:val="00EA6337"/>
    <w:rsid w:val="00EB009F"/>
    <w:rsid w:val="00EB0DED"/>
    <w:rsid w:val="00EB247B"/>
    <w:rsid w:val="00EB5648"/>
    <w:rsid w:val="00EC00B1"/>
    <w:rsid w:val="00EC06FF"/>
    <w:rsid w:val="00EC1A17"/>
    <w:rsid w:val="00EC1F75"/>
    <w:rsid w:val="00EC367D"/>
    <w:rsid w:val="00EC384B"/>
    <w:rsid w:val="00EC5498"/>
    <w:rsid w:val="00EC556B"/>
    <w:rsid w:val="00EC5E83"/>
    <w:rsid w:val="00EC64E5"/>
    <w:rsid w:val="00EC6F6A"/>
    <w:rsid w:val="00EC70E7"/>
    <w:rsid w:val="00EC783E"/>
    <w:rsid w:val="00ED017C"/>
    <w:rsid w:val="00ED145B"/>
    <w:rsid w:val="00ED1C7B"/>
    <w:rsid w:val="00ED1F32"/>
    <w:rsid w:val="00ED2295"/>
    <w:rsid w:val="00ED30B0"/>
    <w:rsid w:val="00ED3F9C"/>
    <w:rsid w:val="00ED664B"/>
    <w:rsid w:val="00EE0062"/>
    <w:rsid w:val="00EE0D67"/>
    <w:rsid w:val="00EE2411"/>
    <w:rsid w:val="00EE36CB"/>
    <w:rsid w:val="00EE3CA0"/>
    <w:rsid w:val="00EE5099"/>
    <w:rsid w:val="00EE702C"/>
    <w:rsid w:val="00EE71BE"/>
    <w:rsid w:val="00EE7662"/>
    <w:rsid w:val="00EE7B5D"/>
    <w:rsid w:val="00EF2A63"/>
    <w:rsid w:val="00EF336C"/>
    <w:rsid w:val="00EF3764"/>
    <w:rsid w:val="00EF40E0"/>
    <w:rsid w:val="00EF459F"/>
    <w:rsid w:val="00EF56CA"/>
    <w:rsid w:val="00EF5CF0"/>
    <w:rsid w:val="00EF6CF8"/>
    <w:rsid w:val="00EF7A48"/>
    <w:rsid w:val="00F012FC"/>
    <w:rsid w:val="00F03B0E"/>
    <w:rsid w:val="00F04699"/>
    <w:rsid w:val="00F0477A"/>
    <w:rsid w:val="00F0673B"/>
    <w:rsid w:val="00F07525"/>
    <w:rsid w:val="00F10FA6"/>
    <w:rsid w:val="00F14CAF"/>
    <w:rsid w:val="00F161B1"/>
    <w:rsid w:val="00F17E88"/>
    <w:rsid w:val="00F20031"/>
    <w:rsid w:val="00F20327"/>
    <w:rsid w:val="00F2194C"/>
    <w:rsid w:val="00F21D79"/>
    <w:rsid w:val="00F21EE0"/>
    <w:rsid w:val="00F239B0"/>
    <w:rsid w:val="00F23E7C"/>
    <w:rsid w:val="00F25728"/>
    <w:rsid w:val="00F25BE5"/>
    <w:rsid w:val="00F25D89"/>
    <w:rsid w:val="00F26014"/>
    <w:rsid w:val="00F262C4"/>
    <w:rsid w:val="00F2792A"/>
    <w:rsid w:val="00F27DCF"/>
    <w:rsid w:val="00F3036D"/>
    <w:rsid w:val="00F3152F"/>
    <w:rsid w:val="00F328D4"/>
    <w:rsid w:val="00F34C8F"/>
    <w:rsid w:val="00F35A5E"/>
    <w:rsid w:val="00F37631"/>
    <w:rsid w:val="00F37E45"/>
    <w:rsid w:val="00F41374"/>
    <w:rsid w:val="00F43F38"/>
    <w:rsid w:val="00F45666"/>
    <w:rsid w:val="00F46848"/>
    <w:rsid w:val="00F502F4"/>
    <w:rsid w:val="00F573D6"/>
    <w:rsid w:val="00F614FD"/>
    <w:rsid w:val="00F61ED6"/>
    <w:rsid w:val="00F622E0"/>
    <w:rsid w:val="00F6366C"/>
    <w:rsid w:val="00F63850"/>
    <w:rsid w:val="00F640C8"/>
    <w:rsid w:val="00F64446"/>
    <w:rsid w:val="00F663CC"/>
    <w:rsid w:val="00F70C25"/>
    <w:rsid w:val="00F72546"/>
    <w:rsid w:val="00F7470F"/>
    <w:rsid w:val="00F747A8"/>
    <w:rsid w:val="00F77E92"/>
    <w:rsid w:val="00F82A96"/>
    <w:rsid w:val="00F832D1"/>
    <w:rsid w:val="00F849BD"/>
    <w:rsid w:val="00F84DAF"/>
    <w:rsid w:val="00F8694D"/>
    <w:rsid w:val="00F918FC"/>
    <w:rsid w:val="00F91A6C"/>
    <w:rsid w:val="00F93ED6"/>
    <w:rsid w:val="00F958D6"/>
    <w:rsid w:val="00F95F15"/>
    <w:rsid w:val="00F966D9"/>
    <w:rsid w:val="00FA0777"/>
    <w:rsid w:val="00FA17E1"/>
    <w:rsid w:val="00FA1A1F"/>
    <w:rsid w:val="00FA2318"/>
    <w:rsid w:val="00FA3CF4"/>
    <w:rsid w:val="00FA5373"/>
    <w:rsid w:val="00FA59C9"/>
    <w:rsid w:val="00FB0450"/>
    <w:rsid w:val="00FB2FCD"/>
    <w:rsid w:val="00FB3E04"/>
    <w:rsid w:val="00FB3EC4"/>
    <w:rsid w:val="00FB5C49"/>
    <w:rsid w:val="00FB5FD2"/>
    <w:rsid w:val="00FB63CA"/>
    <w:rsid w:val="00FB6777"/>
    <w:rsid w:val="00FC10F4"/>
    <w:rsid w:val="00FC434D"/>
    <w:rsid w:val="00FC49F5"/>
    <w:rsid w:val="00FC789A"/>
    <w:rsid w:val="00FC7C1C"/>
    <w:rsid w:val="00FD0102"/>
    <w:rsid w:val="00FD22B4"/>
    <w:rsid w:val="00FD2A99"/>
    <w:rsid w:val="00FD2BD3"/>
    <w:rsid w:val="00FD4A43"/>
    <w:rsid w:val="00FD569E"/>
    <w:rsid w:val="00FD5CCA"/>
    <w:rsid w:val="00FD7586"/>
    <w:rsid w:val="00FD7BD2"/>
    <w:rsid w:val="00FD7FB1"/>
    <w:rsid w:val="00FE27AB"/>
    <w:rsid w:val="00FE3988"/>
    <w:rsid w:val="00FE4AC6"/>
    <w:rsid w:val="00FE50B6"/>
    <w:rsid w:val="00FF0454"/>
    <w:rsid w:val="00FF072A"/>
    <w:rsid w:val="00FF085A"/>
    <w:rsid w:val="00FF0C8E"/>
    <w:rsid w:val="00FF17EC"/>
    <w:rsid w:val="00FF28CF"/>
    <w:rsid w:val="00FF4394"/>
    <w:rsid w:val="00FF4898"/>
    <w:rsid w:val="00FF4C3A"/>
    <w:rsid w:val="00FF6DC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fillcolor="white" stroke="f">
      <v:fill color="white"/>
      <v:stroke on="f"/>
      <v:textbox style="mso-fit-shape-to-text:t" inset="0,0,0,0"/>
    </o:shapedefaults>
    <o:shapelayout v:ext="edit">
      <o:idmap v:ext="edit" data="1"/>
    </o:shapelayout>
  </w:shapeDefaults>
  <w:decimalSymbol w:val="."/>
  <w:listSeparator w:val=","/>
  <w15:docId w15:val="{F18B0C86-E863-49A1-A845-1D04AF8AF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W1)" w:eastAsia="Times New Roman" w:hAnsi="Times New (W1)" w:cs="Times New Roman"/>
        <w:sz w:val="22"/>
        <w:szCs w:val="22"/>
        <w:lang w:val="it-IT" w:eastAsia="it-IT"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1"/>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lock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6BB2"/>
    <w:pPr>
      <w:spacing w:after="120" w:line="360" w:lineRule="auto"/>
      <w:jc w:val="both"/>
    </w:pPr>
    <w:rPr>
      <w:rFonts w:ascii="Trebuchet MS" w:hAnsi="Trebuchet MS" w:cs="Trebuchet MS"/>
      <w:lang w:val="en-GB" w:eastAsia="en-US"/>
    </w:rPr>
  </w:style>
  <w:style w:type="paragraph" w:styleId="Heading1">
    <w:name w:val="heading 1"/>
    <w:basedOn w:val="Normal"/>
    <w:next w:val="Normal"/>
    <w:link w:val="Heading1Char"/>
    <w:uiPriority w:val="99"/>
    <w:qFormat/>
    <w:rsid w:val="00A62261"/>
    <w:pPr>
      <w:keepNext/>
      <w:pageBreakBefore/>
      <w:numPr>
        <w:numId w:val="4"/>
      </w:numPr>
      <w:shd w:val="clear" w:color="auto" w:fill="99CC00"/>
      <w:spacing w:before="480" w:after="240"/>
      <w:jc w:val="left"/>
      <w:outlineLvl w:val="0"/>
    </w:pPr>
    <w:rPr>
      <w:rFonts w:cs="Arial"/>
      <w:b/>
      <w:bCs/>
      <w:color w:val="FFFFFF"/>
      <w:sz w:val="32"/>
      <w:szCs w:val="32"/>
    </w:rPr>
  </w:style>
  <w:style w:type="paragraph" w:styleId="Heading2">
    <w:name w:val="heading 2"/>
    <w:basedOn w:val="Normal"/>
    <w:next w:val="Normal"/>
    <w:link w:val="Heading2Char"/>
    <w:uiPriority w:val="99"/>
    <w:qFormat/>
    <w:rsid w:val="00411FBA"/>
    <w:pPr>
      <w:keepNext/>
      <w:numPr>
        <w:ilvl w:val="1"/>
        <w:numId w:val="4"/>
      </w:numPr>
      <w:spacing w:before="240"/>
      <w:outlineLvl w:val="1"/>
    </w:pPr>
    <w:rPr>
      <w:b/>
      <w:i/>
    </w:rPr>
  </w:style>
  <w:style w:type="paragraph" w:styleId="Heading3">
    <w:name w:val="heading 3"/>
    <w:basedOn w:val="Normal"/>
    <w:next w:val="Normal"/>
    <w:link w:val="Heading3Char"/>
    <w:uiPriority w:val="99"/>
    <w:qFormat/>
    <w:rsid w:val="00F328D4"/>
    <w:pPr>
      <w:keepNext/>
      <w:numPr>
        <w:ilvl w:val="2"/>
        <w:numId w:val="4"/>
      </w:numPr>
      <w:outlineLvl w:val="2"/>
    </w:pPr>
    <w:rPr>
      <w:b/>
      <w:i/>
    </w:rPr>
  </w:style>
  <w:style w:type="paragraph" w:styleId="Heading4">
    <w:name w:val="heading 4"/>
    <w:basedOn w:val="Normal"/>
    <w:next w:val="Normal"/>
    <w:link w:val="Heading4Char"/>
    <w:uiPriority w:val="99"/>
    <w:qFormat/>
    <w:rsid w:val="007762BF"/>
    <w:pPr>
      <w:keepNext/>
      <w:numPr>
        <w:ilvl w:val="3"/>
        <w:numId w:val="4"/>
      </w:numPr>
      <w:outlineLvl w:val="3"/>
    </w:pPr>
    <w:rPr>
      <w:b/>
      <w:i/>
    </w:rPr>
  </w:style>
  <w:style w:type="paragraph" w:styleId="Heading5">
    <w:name w:val="heading 5"/>
    <w:basedOn w:val="Normal"/>
    <w:next w:val="Normal"/>
    <w:link w:val="Heading5Char"/>
    <w:uiPriority w:val="99"/>
    <w:qFormat/>
    <w:rsid w:val="007762BF"/>
    <w:pPr>
      <w:keepNext/>
      <w:numPr>
        <w:ilvl w:val="4"/>
        <w:numId w:val="4"/>
      </w:numPr>
      <w:jc w:val="center"/>
      <w:outlineLvl w:val="4"/>
    </w:pPr>
    <w:rPr>
      <w:b/>
      <w:i/>
      <w:u w:val="single"/>
    </w:rPr>
  </w:style>
  <w:style w:type="paragraph" w:styleId="Heading6">
    <w:name w:val="heading 6"/>
    <w:basedOn w:val="Normal"/>
    <w:next w:val="Normal"/>
    <w:link w:val="Heading6Char"/>
    <w:uiPriority w:val="99"/>
    <w:qFormat/>
    <w:rsid w:val="007762BF"/>
    <w:pPr>
      <w:keepNext/>
      <w:numPr>
        <w:ilvl w:val="5"/>
        <w:numId w:val="4"/>
      </w:numPr>
      <w:outlineLvl w:val="5"/>
    </w:pPr>
    <w:rPr>
      <w:b/>
      <w:i/>
      <w:u w:val="single"/>
    </w:rPr>
  </w:style>
  <w:style w:type="paragraph" w:styleId="Heading7">
    <w:name w:val="heading 7"/>
    <w:basedOn w:val="Normal"/>
    <w:next w:val="Normal"/>
    <w:link w:val="Heading7Char"/>
    <w:uiPriority w:val="99"/>
    <w:qFormat/>
    <w:rsid w:val="007762BF"/>
    <w:pPr>
      <w:keepNext/>
      <w:numPr>
        <w:ilvl w:val="6"/>
        <w:numId w:val="4"/>
      </w:numPr>
      <w:outlineLvl w:val="6"/>
    </w:pPr>
    <w:rPr>
      <w:b/>
      <w:i/>
    </w:rPr>
  </w:style>
  <w:style w:type="paragraph" w:styleId="Heading8">
    <w:name w:val="heading 8"/>
    <w:basedOn w:val="Normal"/>
    <w:next w:val="Normal"/>
    <w:link w:val="Heading8Char"/>
    <w:uiPriority w:val="99"/>
    <w:qFormat/>
    <w:rsid w:val="007762BF"/>
    <w:pPr>
      <w:keepNext/>
      <w:numPr>
        <w:ilvl w:val="7"/>
        <w:numId w:val="4"/>
      </w:numPr>
      <w:outlineLvl w:val="7"/>
    </w:pPr>
    <w:rPr>
      <w:b/>
      <w:i/>
      <w:u w:val="single"/>
    </w:rPr>
  </w:style>
  <w:style w:type="paragraph" w:styleId="Heading9">
    <w:name w:val="heading 9"/>
    <w:basedOn w:val="Normal"/>
    <w:next w:val="Normal"/>
    <w:link w:val="Heading9Char"/>
    <w:uiPriority w:val="99"/>
    <w:qFormat/>
    <w:rsid w:val="007762BF"/>
    <w:pPr>
      <w:keepNext/>
      <w:numPr>
        <w:ilvl w:val="8"/>
        <w:numId w:val="4"/>
      </w:numPr>
      <w:outlineLvl w:val="8"/>
    </w:pPr>
    <w:rPr>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A62261"/>
    <w:rPr>
      <w:rFonts w:ascii="Trebuchet MS" w:hAnsi="Trebuchet MS" w:cs="Arial"/>
      <w:b/>
      <w:bCs/>
      <w:color w:val="FFFFFF"/>
      <w:sz w:val="32"/>
      <w:szCs w:val="32"/>
      <w:shd w:val="clear" w:color="auto" w:fill="99CC00"/>
      <w:lang w:val="en-GB" w:eastAsia="en-US"/>
    </w:rPr>
  </w:style>
  <w:style w:type="character" w:customStyle="1" w:styleId="Heading2Char">
    <w:name w:val="Heading 2 Char"/>
    <w:basedOn w:val="DefaultParagraphFont"/>
    <w:link w:val="Heading2"/>
    <w:uiPriority w:val="99"/>
    <w:rsid w:val="00411FBA"/>
    <w:rPr>
      <w:rFonts w:ascii="Trebuchet MS" w:hAnsi="Trebuchet MS" w:cs="Trebuchet MS"/>
      <w:b/>
      <w:i/>
      <w:lang w:val="en-GB" w:eastAsia="en-US"/>
    </w:rPr>
  </w:style>
  <w:style w:type="character" w:customStyle="1" w:styleId="Heading3Char">
    <w:name w:val="Heading 3 Char"/>
    <w:basedOn w:val="DefaultParagraphFont"/>
    <w:link w:val="Heading3"/>
    <w:uiPriority w:val="99"/>
    <w:rsid w:val="00F43037"/>
    <w:rPr>
      <w:rFonts w:ascii="Trebuchet MS" w:hAnsi="Trebuchet MS" w:cs="Trebuchet MS"/>
      <w:b/>
      <w:i/>
      <w:lang w:val="en-GB" w:eastAsia="en-US"/>
    </w:rPr>
  </w:style>
  <w:style w:type="character" w:customStyle="1" w:styleId="Heading4Char">
    <w:name w:val="Heading 4 Char"/>
    <w:basedOn w:val="DefaultParagraphFont"/>
    <w:link w:val="Heading4"/>
    <w:uiPriority w:val="99"/>
    <w:rsid w:val="00F43037"/>
    <w:rPr>
      <w:rFonts w:ascii="Trebuchet MS" w:hAnsi="Trebuchet MS" w:cs="Trebuchet MS"/>
      <w:b/>
      <w:i/>
      <w:lang w:val="en-GB" w:eastAsia="en-US"/>
    </w:rPr>
  </w:style>
  <w:style w:type="character" w:customStyle="1" w:styleId="Heading5Char">
    <w:name w:val="Heading 5 Char"/>
    <w:basedOn w:val="DefaultParagraphFont"/>
    <w:link w:val="Heading5"/>
    <w:uiPriority w:val="99"/>
    <w:rsid w:val="00F43037"/>
    <w:rPr>
      <w:rFonts w:ascii="Trebuchet MS" w:hAnsi="Trebuchet MS" w:cs="Trebuchet MS"/>
      <w:b/>
      <w:i/>
      <w:u w:val="single"/>
      <w:lang w:val="en-GB" w:eastAsia="en-US"/>
    </w:rPr>
  </w:style>
  <w:style w:type="character" w:customStyle="1" w:styleId="Heading6Char">
    <w:name w:val="Heading 6 Char"/>
    <w:basedOn w:val="DefaultParagraphFont"/>
    <w:link w:val="Heading6"/>
    <w:uiPriority w:val="99"/>
    <w:rsid w:val="00F43037"/>
    <w:rPr>
      <w:rFonts w:ascii="Trebuchet MS" w:hAnsi="Trebuchet MS" w:cs="Trebuchet MS"/>
      <w:b/>
      <w:i/>
      <w:u w:val="single"/>
      <w:lang w:val="en-GB" w:eastAsia="en-US"/>
    </w:rPr>
  </w:style>
  <w:style w:type="character" w:customStyle="1" w:styleId="Heading7Char">
    <w:name w:val="Heading 7 Char"/>
    <w:basedOn w:val="DefaultParagraphFont"/>
    <w:link w:val="Heading7"/>
    <w:uiPriority w:val="99"/>
    <w:rsid w:val="00F43037"/>
    <w:rPr>
      <w:rFonts w:ascii="Trebuchet MS" w:hAnsi="Trebuchet MS" w:cs="Trebuchet MS"/>
      <w:b/>
      <w:i/>
      <w:lang w:val="en-GB" w:eastAsia="en-US"/>
    </w:rPr>
  </w:style>
  <w:style w:type="character" w:customStyle="1" w:styleId="Heading8Char">
    <w:name w:val="Heading 8 Char"/>
    <w:basedOn w:val="DefaultParagraphFont"/>
    <w:link w:val="Heading8"/>
    <w:uiPriority w:val="99"/>
    <w:rsid w:val="00F43037"/>
    <w:rPr>
      <w:rFonts w:ascii="Trebuchet MS" w:hAnsi="Trebuchet MS" w:cs="Trebuchet MS"/>
      <w:b/>
      <w:i/>
      <w:u w:val="single"/>
      <w:lang w:val="en-GB" w:eastAsia="en-US"/>
    </w:rPr>
  </w:style>
  <w:style w:type="character" w:customStyle="1" w:styleId="Heading9Char">
    <w:name w:val="Heading 9 Char"/>
    <w:basedOn w:val="DefaultParagraphFont"/>
    <w:link w:val="Heading9"/>
    <w:uiPriority w:val="99"/>
    <w:rsid w:val="00F43037"/>
    <w:rPr>
      <w:rFonts w:ascii="Trebuchet MS" w:hAnsi="Trebuchet MS" w:cs="Trebuchet MS"/>
      <w:b/>
      <w:i/>
      <w:lang w:val="en-GB" w:eastAsia="en-US"/>
    </w:rPr>
  </w:style>
  <w:style w:type="paragraph" w:styleId="Footer">
    <w:name w:val="footer"/>
    <w:basedOn w:val="Normal"/>
    <w:link w:val="FooterChar"/>
    <w:uiPriority w:val="99"/>
    <w:rsid w:val="007762BF"/>
    <w:pPr>
      <w:tabs>
        <w:tab w:val="center" w:pos="4536"/>
        <w:tab w:val="right" w:pos="9072"/>
      </w:tabs>
    </w:pPr>
  </w:style>
  <w:style w:type="character" w:customStyle="1" w:styleId="FooterChar">
    <w:name w:val="Footer Char"/>
    <w:basedOn w:val="DefaultParagraphFont"/>
    <w:link w:val="Footer"/>
    <w:uiPriority w:val="99"/>
    <w:rsid w:val="00F43037"/>
    <w:rPr>
      <w:rFonts w:ascii="Calibri" w:hAnsi="Calibri" w:cs="Trebuchet MS"/>
      <w:lang w:val="en-US" w:eastAsia="en-US"/>
    </w:rPr>
  </w:style>
  <w:style w:type="paragraph" w:styleId="Header">
    <w:name w:val="header"/>
    <w:basedOn w:val="Normal"/>
    <w:link w:val="HeaderChar"/>
    <w:uiPriority w:val="99"/>
    <w:rsid w:val="007762BF"/>
    <w:pPr>
      <w:tabs>
        <w:tab w:val="center" w:pos="4536"/>
        <w:tab w:val="right" w:pos="9072"/>
      </w:tabs>
    </w:pPr>
  </w:style>
  <w:style w:type="character" w:customStyle="1" w:styleId="HeaderChar">
    <w:name w:val="Header Char"/>
    <w:basedOn w:val="DefaultParagraphFont"/>
    <w:link w:val="Header"/>
    <w:uiPriority w:val="99"/>
    <w:rsid w:val="00F43037"/>
    <w:rPr>
      <w:rFonts w:ascii="Calibri" w:hAnsi="Calibri" w:cs="Trebuchet MS"/>
      <w:lang w:val="en-US" w:eastAsia="en-US"/>
    </w:rPr>
  </w:style>
  <w:style w:type="paragraph" w:customStyle="1" w:styleId="Level1">
    <w:name w:val="Level 1"/>
    <w:basedOn w:val="Normal"/>
    <w:uiPriority w:val="99"/>
    <w:rsid w:val="007762BF"/>
    <w:pPr>
      <w:widowControl w:val="0"/>
      <w:numPr>
        <w:numId w:val="1"/>
      </w:numPr>
      <w:autoSpaceDE w:val="0"/>
      <w:autoSpaceDN w:val="0"/>
      <w:adjustRightInd w:val="0"/>
      <w:ind w:left="720" w:hanging="720"/>
      <w:outlineLvl w:val="0"/>
    </w:pPr>
  </w:style>
  <w:style w:type="paragraph" w:customStyle="1" w:styleId="Text1">
    <w:name w:val="Text 1"/>
    <w:basedOn w:val="Normal"/>
    <w:uiPriority w:val="99"/>
    <w:rsid w:val="007762BF"/>
    <w:pPr>
      <w:spacing w:after="240"/>
      <w:ind w:left="482"/>
    </w:pPr>
  </w:style>
  <w:style w:type="paragraph" w:customStyle="1" w:styleId="FrontPage1">
    <w:name w:val="FrontPage1"/>
    <w:basedOn w:val="Normal"/>
    <w:next w:val="BodyText"/>
    <w:uiPriority w:val="99"/>
    <w:rsid w:val="007762BF"/>
    <w:pPr>
      <w:suppressAutoHyphens/>
      <w:spacing w:after="160" w:line="320" w:lineRule="exact"/>
    </w:pPr>
    <w:rPr>
      <w:rFonts w:ascii="TrueHelveticaLight" w:hAnsi="TrueHelveticaLight"/>
      <w:sz w:val="28"/>
    </w:rPr>
  </w:style>
  <w:style w:type="paragraph" w:styleId="BodyText">
    <w:name w:val="Body Text"/>
    <w:basedOn w:val="Normal"/>
    <w:link w:val="BodyTextChar"/>
    <w:uiPriority w:val="99"/>
    <w:rsid w:val="007762BF"/>
    <w:rPr>
      <w:b/>
    </w:rPr>
  </w:style>
  <w:style w:type="character" w:customStyle="1" w:styleId="BodyTextChar">
    <w:name w:val="Body Text Char"/>
    <w:basedOn w:val="DefaultParagraphFont"/>
    <w:link w:val="BodyText"/>
    <w:uiPriority w:val="99"/>
    <w:rsid w:val="00F43037"/>
    <w:rPr>
      <w:rFonts w:ascii="Calibri" w:hAnsi="Calibri" w:cs="Trebuchet MS"/>
      <w:lang w:val="en-US" w:eastAsia="en-US"/>
    </w:rPr>
  </w:style>
  <w:style w:type="paragraph" w:customStyle="1" w:styleId="FrontPage2">
    <w:name w:val="FrontPage2"/>
    <w:basedOn w:val="FrontPage1"/>
    <w:next w:val="BodyText"/>
    <w:uiPriority w:val="99"/>
    <w:rsid w:val="007762BF"/>
    <w:pPr>
      <w:spacing w:line="400" w:lineRule="exact"/>
    </w:pPr>
    <w:rPr>
      <w:rFonts w:ascii="TrueHelveticaBlack" w:hAnsi="TrueHelveticaBlack"/>
      <w:sz w:val="36"/>
    </w:rPr>
  </w:style>
  <w:style w:type="character" w:styleId="Hyperlink">
    <w:name w:val="Hyperlink"/>
    <w:basedOn w:val="DefaultParagraphFont"/>
    <w:uiPriority w:val="99"/>
    <w:rsid w:val="007762BF"/>
    <w:rPr>
      <w:rFonts w:cs="Times New Roman"/>
      <w:color w:val="0000FF"/>
      <w:u w:val="single"/>
    </w:rPr>
  </w:style>
  <w:style w:type="paragraph" w:styleId="TOC1">
    <w:name w:val="toc 1"/>
    <w:basedOn w:val="Normal"/>
    <w:next w:val="Normal"/>
    <w:uiPriority w:val="39"/>
    <w:rsid w:val="0001152D"/>
    <w:pPr>
      <w:tabs>
        <w:tab w:val="left" w:pos="284"/>
        <w:tab w:val="right" w:pos="7938"/>
      </w:tabs>
      <w:spacing w:before="280" w:line="280" w:lineRule="atLeast"/>
      <w:ind w:left="284" w:right="567" w:hanging="284"/>
    </w:pPr>
    <w:rPr>
      <w:b/>
      <w:noProof/>
      <w:sz w:val="24"/>
      <w:lang w:val="nl-NL"/>
    </w:rPr>
  </w:style>
  <w:style w:type="paragraph" w:styleId="TOC2">
    <w:name w:val="toc 2"/>
    <w:basedOn w:val="Normal"/>
    <w:next w:val="Normal"/>
    <w:uiPriority w:val="39"/>
    <w:rsid w:val="0001152D"/>
    <w:pPr>
      <w:tabs>
        <w:tab w:val="left" w:pos="709"/>
        <w:tab w:val="right" w:pos="7938"/>
      </w:tabs>
      <w:spacing w:line="280" w:lineRule="atLeast"/>
      <w:ind w:left="709" w:right="567" w:hanging="425"/>
    </w:pPr>
    <w:rPr>
      <w:noProof/>
      <w:sz w:val="20"/>
      <w:lang w:val="nl-NL"/>
    </w:rPr>
  </w:style>
  <w:style w:type="paragraph" w:styleId="TOC3">
    <w:name w:val="toc 3"/>
    <w:basedOn w:val="Normal"/>
    <w:next w:val="Normal"/>
    <w:uiPriority w:val="39"/>
    <w:rsid w:val="007762BF"/>
    <w:pPr>
      <w:tabs>
        <w:tab w:val="left" w:pos="1276"/>
        <w:tab w:val="right" w:pos="7938"/>
      </w:tabs>
      <w:spacing w:line="280" w:lineRule="atLeast"/>
      <w:ind w:left="1276" w:right="567" w:hanging="567"/>
    </w:pPr>
    <w:rPr>
      <w:lang w:val="nl-NL"/>
    </w:rPr>
  </w:style>
  <w:style w:type="paragraph" w:styleId="Title">
    <w:name w:val="Title"/>
    <w:basedOn w:val="Normal"/>
    <w:link w:val="TitleChar"/>
    <w:uiPriority w:val="99"/>
    <w:qFormat/>
    <w:rsid w:val="007762BF"/>
    <w:pPr>
      <w:ind w:right="389"/>
      <w:jc w:val="center"/>
    </w:pPr>
    <w:rPr>
      <w:b/>
    </w:rPr>
  </w:style>
  <w:style w:type="character" w:customStyle="1" w:styleId="TitleChar">
    <w:name w:val="Title Char"/>
    <w:basedOn w:val="DefaultParagraphFont"/>
    <w:link w:val="Title"/>
    <w:uiPriority w:val="10"/>
    <w:rsid w:val="00F43037"/>
    <w:rPr>
      <w:rFonts w:asciiTheme="majorHAnsi" w:eastAsiaTheme="majorEastAsia" w:hAnsiTheme="majorHAnsi" w:cstheme="majorBidi"/>
      <w:b/>
      <w:bCs/>
      <w:kern w:val="28"/>
      <w:sz w:val="32"/>
      <w:szCs w:val="32"/>
      <w:lang w:val="en-US" w:eastAsia="en-US"/>
    </w:rPr>
  </w:style>
  <w:style w:type="paragraph" w:styleId="BodyText3">
    <w:name w:val="Body Text 3"/>
    <w:basedOn w:val="Normal"/>
    <w:link w:val="BodyText3Char"/>
    <w:uiPriority w:val="99"/>
    <w:rsid w:val="007762BF"/>
  </w:style>
  <w:style w:type="character" w:customStyle="1" w:styleId="BodyText3Char">
    <w:name w:val="Body Text 3 Char"/>
    <w:basedOn w:val="DefaultParagraphFont"/>
    <w:link w:val="BodyText3"/>
    <w:uiPriority w:val="99"/>
    <w:locked/>
    <w:rsid w:val="000054B1"/>
    <w:rPr>
      <w:rFonts w:ascii="Garamond" w:hAnsi="Garamond" w:cs="Times New Roman"/>
      <w:sz w:val="24"/>
      <w:szCs w:val="24"/>
    </w:rPr>
  </w:style>
  <w:style w:type="character" w:styleId="FootnoteReference">
    <w:name w:val="footnote reference"/>
    <w:basedOn w:val="DefaultParagraphFont"/>
    <w:uiPriority w:val="99"/>
    <w:semiHidden/>
    <w:rsid w:val="007762BF"/>
    <w:rPr>
      <w:rFonts w:cs="Times New Roman"/>
      <w:vertAlign w:val="superscript"/>
    </w:rPr>
  </w:style>
  <w:style w:type="paragraph" w:styleId="FootnoteText">
    <w:name w:val="footnote text"/>
    <w:basedOn w:val="Normal"/>
    <w:link w:val="FootnoteTextChar"/>
    <w:uiPriority w:val="99"/>
    <w:semiHidden/>
    <w:rsid w:val="007762BF"/>
  </w:style>
  <w:style w:type="character" w:customStyle="1" w:styleId="FootnoteTextChar">
    <w:name w:val="Footnote Text Char"/>
    <w:basedOn w:val="DefaultParagraphFont"/>
    <w:link w:val="FootnoteText"/>
    <w:uiPriority w:val="99"/>
    <w:semiHidden/>
    <w:rsid w:val="00F43037"/>
    <w:rPr>
      <w:rFonts w:ascii="Calibri" w:hAnsi="Calibri" w:cs="Trebuchet MS"/>
      <w:sz w:val="20"/>
      <w:szCs w:val="20"/>
      <w:lang w:val="en-US" w:eastAsia="en-US"/>
    </w:rPr>
  </w:style>
  <w:style w:type="paragraph" w:styleId="BodyText2">
    <w:name w:val="Body Text 2"/>
    <w:basedOn w:val="Normal"/>
    <w:link w:val="BodyText2Char"/>
    <w:uiPriority w:val="99"/>
    <w:rsid w:val="007762BF"/>
  </w:style>
  <w:style w:type="character" w:customStyle="1" w:styleId="BodyText2Char">
    <w:name w:val="Body Text 2 Char"/>
    <w:basedOn w:val="DefaultParagraphFont"/>
    <w:link w:val="BodyText2"/>
    <w:uiPriority w:val="99"/>
    <w:semiHidden/>
    <w:rsid w:val="00F43037"/>
    <w:rPr>
      <w:rFonts w:ascii="Calibri" w:hAnsi="Calibri" w:cs="Trebuchet MS"/>
      <w:lang w:val="en-US" w:eastAsia="en-US"/>
    </w:rPr>
  </w:style>
  <w:style w:type="character" w:styleId="PageNumber">
    <w:name w:val="page number"/>
    <w:basedOn w:val="DefaultParagraphFont"/>
    <w:uiPriority w:val="99"/>
    <w:rsid w:val="007762BF"/>
    <w:rPr>
      <w:rFonts w:cs="Times New Roman"/>
    </w:rPr>
  </w:style>
  <w:style w:type="paragraph" w:styleId="DocumentMap">
    <w:name w:val="Document Map"/>
    <w:basedOn w:val="Normal"/>
    <w:link w:val="DocumentMapChar"/>
    <w:uiPriority w:val="99"/>
    <w:semiHidden/>
    <w:rsid w:val="007762BF"/>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rsid w:val="00F43037"/>
    <w:rPr>
      <w:rFonts w:ascii="Times New Roman" w:hAnsi="Times New Roman" w:cs="Trebuchet MS"/>
      <w:sz w:val="0"/>
      <w:szCs w:val="0"/>
      <w:lang w:val="en-US" w:eastAsia="en-US"/>
    </w:rPr>
  </w:style>
  <w:style w:type="paragraph" w:customStyle="1" w:styleId="TextnBalon1">
    <w:name w:val="Text în Balon1"/>
    <w:basedOn w:val="Normal"/>
    <w:uiPriority w:val="99"/>
    <w:semiHidden/>
    <w:rsid w:val="007762BF"/>
    <w:rPr>
      <w:rFonts w:ascii="Tahoma" w:hAnsi="Tahoma" w:cs="Tahoma"/>
      <w:sz w:val="16"/>
      <w:szCs w:val="16"/>
    </w:rPr>
  </w:style>
  <w:style w:type="character" w:styleId="CommentReference">
    <w:name w:val="annotation reference"/>
    <w:basedOn w:val="DefaultParagraphFont"/>
    <w:uiPriority w:val="99"/>
    <w:semiHidden/>
    <w:rsid w:val="007762BF"/>
    <w:rPr>
      <w:rFonts w:cs="Times New Roman"/>
      <w:sz w:val="16"/>
      <w:szCs w:val="16"/>
    </w:rPr>
  </w:style>
  <w:style w:type="paragraph" w:styleId="CommentText">
    <w:name w:val="annotation text"/>
    <w:basedOn w:val="Normal"/>
    <w:link w:val="CommentTextChar"/>
    <w:uiPriority w:val="99"/>
    <w:rsid w:val="007762BF"/>
  </w:style>
  <w:style w:type="character" w:customStyle="1" w:styleId="CommentTextChar">
    <w:name w:val="Comment Text Char"/>
    <w:basedOn w:val="DefaultParagraphFont"/>
    <w:link w:val="CommentText"/>
    <w:uiPriority w:val="99"/>
    <w:locked/>
    <w:rsid w:val="005C2488"/>
    <w:rPr>
      <w:rFonts w:ascii="Garamond" w:hAnsi="Garamond" w:cs="Times New Roman"/>
      <w:sz w:val="24"/>
      <w:szCs w:val="24"/>
    </w:rPr>
  </w:style>
  <w:style w:type="paragraph" w:customStyle="1" w:styleId="SubiectComentariu1">
    <w:name w:val="Subiect Comentariu1"/>
    <w:basedOn w:val="CommentText"/>
    <w:next w:val="CommentText"/>
    <w:uiPriority w:val="99"/>
    <w:semiHidden/>
    <w:rsid w:val="007762BF"/>
    <w:rPr>
      <w:b/>
      <w:bCs/>
    </w:rPr>
  </w:style>
  <w:style w:type="paragraph" w:styleId="BodyTextIndent">
    <w:name w:val="Body Text Indent"/>
    <w:basedOn w:val="Normal"/>
    <w:link w:val="BodyTextIndentChar"/>
    <w:uiPriority w:val="99"/>
    <w:rsid w:val="007762BF"/>
    <w:pPr>
      <w:framePr w:hSpace="180" w:wrap="around" w:hAnchor="margin" w:xAlign="center" w:y="-581"/>
      <w:spacing w:line="340" w:lineRule="exact"/>
      <w:ind w:left="176"/>
    </w:pPr>
    <w:rPr>
      <w:rFonts w:ascii="Arial" w:hAnsi="Arial" w:cs="Arial"/>
      <w:b/>
      <w:bCs/>
      <w:sz w:val="36"/>
    </w:rPr>
  </w:style>
  <w:style w:type="character" w:customStyle="1" w:styleId="BodyTextIndentChar">
    <w:name w:val="Body Text Indent Char"/>
    <w:basedOn w:val="DefaultParagraphFont"/>
    <w:link w:val="BodyTextIndent"/>
    <w:uiPriority w:val="99"/>
    <w:semiHidden/>
    <w:rsid w:val="00F43037"/>
    <w:rPr>
      <w:rFonts w:ascii="Calibri" w:hAnsi="Calibri" w:cs="Trebuchet MS"/>
      <w:lang w:val="en-US" w:eastAsia="en-US"/>
    </w:rPr>
  </w:style>
  <w:style w:type="paragraph" w:customStyle="1" w:styleId="Default">
    <w:name w:val="Default"/>
    <w:rsid w:val="007762BF"/>
    <w:pPr>
      <w:autoSpaceDE w:val="0"/>
      <w:autoSpaceDN w:val="0"/>
      <w:adjustRightInd w:val="0"/>
    </w:pPr>
    <w:rPr>
      <w:rFonts w:ascii="Arial" w:hAnsi="Arial" w:cs="Arial"/>
      <w:color w:val="000000"/>
      <w:sz w:val="24"/>
      <w:szCs w:val="24"/>
      <w:lang w:val="en-US" w:eastAsia="en-US"/>
    </w:rPr>
  </w:style>
  <w:style w:type="paragraph" w:customStyle="1" w:styleId="Text2">
    <w:name w:val="Text 2"/>
    <w:basedOn w:val="Default"/>
    <w:next w:val="Default"/>
    <w:uiPriority w:val="99"/>
    <w:rsid w:val="007762BF"/>
    <w:pPr>
      <w:spacing w:after="240"/>
    </w:pPr>
    <w:rPr>
      <w:rFonts w:cs="Times New Roman"/>
      <w:color w:val="auto"/>
      <w:sz w:val="20"/>
    </w:rPr>
  </w:style>
  <w:style w:type="paragraph" w:styleId="NormalWeb">
    <w:name w:val="Normal (Web)"/>
    <w:basedOn w:val="Default"/>
    <w:next w:val="Default"/>
    <w:uiPriority w:val="99"/>
    <w:rsid w:val="007762BF"/>
    <w:pPr>
      <w:spacing w:before="100" w:after="100"/>
    </w:pPr>
    <w:rPr>
      <w:rFonts w:cs="Times New Roman"/>
      <w:color w:val="auto"/>
      <w:sz w:val="20"/>
    </w:rPr>
  </w:style>
  <w:style w:type="paragraph" w:customStyle="1" w:styleId="Corptext1">
    <w:name w:val="Corp text1"/>
    <w:basedOn w:val="Default"/>
    <w:next w:val="Default"/>
    <w:uiPriority w:val="99"/>
    <w:rsid w:val="007762BF"/>
    <w:pPr>
      <w:spacing w:after="120"/>
    </w:pPr>
    <w:rPr>
      <w:rFonts w:cs="Times New Roman"/>
      <w:color w:val="auto"/>
      <w:sz w:val="20"/>
    </w:rPr>
  </w:style>
  <w:style w:type="paragraph" w:customStyle="1" w:styleId="Titlu21">
    <w:name w:val="Titlu 21"/>
    <w:basedOn w:val="Default"/>
    <w:next w:val="Default"/>
    <w:uiPriority w:val="99"/>
    <w:rsid w:val="007762BF"/>
    <w:pPr>
      <w:spacing w:after="120"/>
    </w:pPr>
    <w:rPr>
      <w:rFonts w:cs="Times New Roman"/>
      <w:color w:val="auto"/>
      <w:sz w:val="20"/>
    </w:rPr>
  </w:style>
  <w:style w:type="paragraph" w:styleId="BodyTextIndent2">
    <w:name w:val="Body Text Indent 2"/>
    <w:basedOn w:val="Normal"/>
    <w:link w:val="BodyTextIndent2Char"/>
    <w:uiPriority w:val="99"/>
    <w:rsid w:val="007762BF"/>
    <w:pPr>
      <w:ind w:left="567" w:hanging="567"/>
    </w:pPr>
    <w:rPr>
      <w:rFonts w:cs="Arial"/>
      <w:color w:val="000000"/>
    </w:rPr>
  </w:style>
  <w:style w:type="character" w:customStyle="1" w:styleId="BodyTextIndent2Char">
    <w:name w:val="Body Text Indent 2 Char"/>
    <w:basedOn w:val="DefaultParagraphFont"/>
    <w:link w:val="BodyTextIndent2"/>
    <w:uiPriority w:val="99"/>
    <w:semiHidden/>
    <w:rsid w:val="00F43037"/>
    <w:rPr>
      <w:rFonts w:ascii="Calibri" w:hAnsi="Calibri" w:cs="Trebuchet MS"/>
      <w:lang w:val="en-US" w:eastAsia="en-US"/>
    </w:rPr>
  </w:style>
  <w:style w:type="paragraph" w:styleId="Caption">
    <w:name w:val="caption"/>
    <w:basedOn w:val="Normal"/>
    <w:next w:val="Normal"/>
    <w:uiPriority w:val="99"/>
    <w:qFormat/>
    <w:rsid w:val="0001152D"/>
    <w:pPr>
      <w:keepNext/>
    </w:pPr>
    <w:rPr>
      <w:b/>
      <w:bCs/>
      <w:sz w:val="24"/>
    </w:rPr>
  </w:style>
  <w:style w:type="paragraph" w:styleId="Subtitle">
    <w:name w:val="Subtitle"/>
    <w:basedOn w:val="Normal"/>
    <w:link w:val="SubtitleChar"/>
    <w:uiPriority w:val="99"/>
    <w:qFormat/>
    <w:rsid w:val="007762BF"/>
    <w:rPr>
      <w:b/>
      <w:bCs/>
      <w:u w:val="single"/>
      <w:lang w:val="en-IE"/>
    </w:rPr>
  </w:style>
  <w:style w:type="character" w:customStyle="1" w:styleId="SubtitleChar">
    <w:name w:val="Subtitle Char"/>
    <w:basedOn w:val="DefaultParagraphFont"/>
    <w:link w:val="Subtitle"/>
    <w:uiPriority w:val="11"/>
    <w:rsid w:val="00F43037"/>
    <w:rPr>
      <w:rFonts w:asciiTheme="majorHAnsi" w:eastAsiaTheme="majorEastAsia" w:hAnsiTheme="majorHAnsi" w:cstheme="majorBidi"/>
      <w:sz w:val="24"/>
      <w:szCs w:val="24"/>
      <w:lang w:val="en-US" w:eastAsia="en-US"/>
    </w:rPr>
  </w:style>
  <w:style w:type="paragraph" w:customStyle="1" w:styleId="Cuprins11">
    <w:name w:val="Cuprins 11"/>
    <w:basedOn w:val="Default"/>
    <w:next w:val="Default"/>
    <w:uiPriority w:val="99"/>
    <w:rsid w:val="007762BF"/>
    <w:pPr>
      <w:spacing w:after="120"/>
    </w:pPr>
    <w:rPr>
      <w:rFonts w:cs="Times New Roman"/>
      <w:color w:val="auto"/>
      <w:sz w:val="20"/>
    </w:rPr>
  </w:style>
  <w:style w:type="paragraph" w:customStyle="1" w:styleId="Titlu11">
    <w:name w:val="Titlu 11"/>
    <w:basedOn w:val="Default"/>
    <w:next w:val="Default"/>
    <w:uiPriority w:val="99"/>
    <w:rsid w:val="007762BF"/>
    <w:pPr>
      <w:spacing w:after="120"/>
    </w:pPr>
    <w:rPr>
      <w:rFonts w:cs="Times New Roman"/>
      <w:color w:val="auto"/>
      <w:sz w:val="20"/>
    </w:rPr>
  </w:style>
  <w:style w:type="paragraph" w:customStyle="1" w:styleId="ListNumber1">
    <w:name w:val="List Number 1"/>
    <w:basedOn w:val="Default"/>
    <w:next w:val="Default"/>
    <w:uiPriority w:val="99"/>
    <w:rsid w:val="007762BF"/>
    <w:pPr>
      <w:spacing w:after="240"/>
    </w:pPr>
    <w:rPr>
      <w:rFonts w:cs="Times New Roman"/>
      <w:color w:val="auto"/>
      <w:sz w:val="20"/>
    </w:rPr>
  </w:style>
  <w:style w:type="paragraph" w:customStyle="1" w:styleId="Corptext31">
    <w:name w:val="Corp text 31"/>
    <w:basedOn w:val="Default"/>
    <w:next w:val="Default"/>
    <w:uiPriority w:val="99"/>
    <w:rsid w:val="007762BF"/>
    <w:pPr>
      <w:spacing w:after="120"/>
    </w:pPr>
    <w:rPr>
      <w:rFonts w:cs="Times New Roman"/>
      <w:color w:val="auto"/>
      <w:sz w:val="20"/>
    </w:rPr>
  </w:style>
  <w:style w:type="paragraph" w:customStyle="1" w:styleId="Corptext21">
    <w:name w:val="Corp text 21"/>
    <w:basedOn w:val="Default"/>
    <w:next w:val="Default"/>
    <w:uiPriority w:val="99"/>
    <w:rsid w:val="007762BF"/>
    <w:pPr>
      <w:spacing w:after="120"/>
    </w:pPr>
    <w:rPr>
      <w:rFonts w:cs="Times New Roman"/>
      <w:color w:val="auto"/>
      <w:sz w:val="20"/>
    </w:rPr>
  </w:style>
  <w:style w:type="paragraph" w:customStyle="1" w:styleId="Indentcorptext21">
    <w:name w:val="Indent corp text 21"/>
    <w:basedOn w:val="Default"/>
    <w:next w:val="Default"/>
    <w:uiPriority w:val="99"/>
    <w:rsid w:val="007762BF"/>
    <w:pPr>
      <w:spacing w:after="120"/>
    </w:pPr>
    <w:rPr>
      <w:rFonts w:cs="Times New Roman"/>
      <w:color w:val="auto"/>
      <w:sz w:val="20"/>
    </w:rPr>
  </w:style>
  <w:style w:type="character" w:styleId="FollowedHyperlink">
    <w:name w:val="FollowedHyperlink"/>
    <w:basedOn w:val="DefaultParagraphFont"/>
    <w:uiPriority w:val="99"/>
    <w:rsid w:val="007762BF"/>
    <w:rPr>
      <w:rFonts w:cs="Times New Roman"/>
      <w:color w:val="800080"/>
      <w:u w:val="single"/>
    </w:rPr>
  </w:style>
  <w:style w:type="paragraph" w:customStyle="1" w:styleId="Style2">
    <w:name w:val="Style2"/>
    <w:basedOn w:val="Heading2"/>
    <w:autoRedefine/>
    <w:uiPriority w:val="99"/>
    <w:rsid w:val="00FE3988"/>
    <w:pPr>
      <w:keepLines/>
      <w:numPr>
        <w:numId w:val="2"/>
      </w:numPr>
      <w:tabs>
        <w:tab w:val="left" w:pos="5220"/>
      </w:tabs>
      <w:spacing w:before="120" w:after="180" w:line="240" w:lineRule="atLeast"/>
    </w:pPr>
    <w:rPr>
      <w:rFonts w:ascii="Times New Roman" w:hAnsi="Times New Roman"/>
      <w:i w:val="0"/>
      <w:caps/>
    </w:rPr>
  </w:style>
  <w:style w:type="character" w:styleId="Emphasis">
    <w:name w:val="Emphasis"/>
    <w:basedOn w:val="DefaultParagraphFont"/>
    <w:uiPriority w:val="20"/>
    <w:qFormat/>
    <w:rsid w:val="00FE3988"/>
    <w:rPr>
      <w:rFonts w:cs="Times New Roman"/>
      <w:caps/>
      <w:sz w:val="18"/>
    </w:rPr>
  </w:style>
  <w:style w:type="paragraph" w:styleId="BalloonText">
    <w:name w:val="Balloon Text"/>
    <w:basedOn w:val="Normal"/>
    <w:link w:val="BalloonTextChar"/>
    <w:uiPriority w:val="99"/>
    <w:semiHidden/>
    <w:rsid w:val="00A42279"/>
    <w:rPr>
      <w:rFonts w:ascii="Tahoma" w:hAnsi="Tahoma" w:cs="Tahoma"/>
      <w:sz w:val="16"/>
      <w:szCs w:val="16"/>
    </w:rPr>
  </w:style>
  <w:style w:type="character" w:customStyle="1" w:styleId="BalloonTextChar">
    <w:name w:val="Balloon Text Char"/>
    <w:basedOn w:val="DefaultParagraphFont"/>
    <w:link w:val="BalloonText"/>
    <w:uiPriority w:val="99"/>
    <w:semiHidden/>
    <w:rsid w:val="00F43037"/>
    <w:rPr>
      <w:rFonts w:ascii="Times New Roman" w:hAnsi="Times New Roman" w:cs="Trebuchet MS"/>
      <w:sz w:val="0"/>
      <w:szCs w:val="0"/>
      <w:lang w:val="en-US" w:eastAsia="en-US"/>
    </w:rPr>
  </w:style>
  <w:style w:type="paragraph" w:customStyle="1" w:styleId="Section3-Heading1">
    <w:name w:val="Section 3 - Heading 1"/>
    <w:basedOn w:val="Normal"/>
    <w:uiPriority w:val="99"/>
    <w:rsid w:val="0035782D"/>
    <w:pPr>
      <w:pBdr>
        <w:bottom w:val="single" w:sz="4" w:space="1" w:color="auto"/>
      </w:pBdr>
      <w:spacing w:before="120" w:after="240"/>
      <w:jc w:val="center"/>
    </w:pPr>
    <w:rPr>
      <w:smallCaps/>
      <w:sz w:val="32"/>
    </w:rPr>
  </w:style>
  <w:style w:type="paragraph" w:styleId="TOCHeading">
    <w:name w:val="TOC Heading"/>
    <w:basedOn w:val="Heading1"/>
    <w:next w:val="Normal"/>
    <w:uiPriority w:val="39"/>
    <w:qFormat/>
    <w:rsid w:val="00736178"/>
    <w:pPr>
      <w:keepLines/>
      <w:spacing w:line="276" w:lineRule="auto"/>
      <w:outlineLvl w:val="9"/>
    </w:pPr>
    <w:rPr>
      <w:rFonts w:ascii="Cambria" w:hAnsi="Cambria" w:cs="Times New Roman"/>
      <w:color w:val="365F91"/>
      <w:sz w:val="28"/>
      <w:szCs w:val="28"/>
      <w:lang w:val="it-IT"/>
    </w:rPr>
  </w:style>
  <w:style w:type="paragraph" w:customStyle="1" w:styleId="mStandard">
    <w:name w:val="m_Standard"/>
    <w:link w:val="mStandardZchn"/>
    <w:uiPriority w:val="99"/>
    <w:qFormat/>
    <w:rsid w:val="005C2488"/>
    <w:pPr>
      <w:spacing w:before="60" w:after="140" w:line="220" w:lineRule="atLeast"/>
      <w:jc w:val="both"/>
    </w:pPr>
    <w:rPr>
      <w:rFonts w:ascii="Arial" w:hAnsi="Arial"/>
      <w:sz w:val="20"/>
      <w:szCs w:val="20"/>
      <w:lang w:val="de-AT" w:eastAsia="de-DE"/>
    </w:rPr>
  </w:style>
  <w:style w:type="character" w:customStyle="1" w:styleId="mStandardZchn">
    <w:name w:val="m_Standard Zchn"/>
    <w:basedOn w:val="DefaultParagraphFont"/>
    <w:link w:val="mStandard"/>
    <w:uiPriority w:val="99"/>
    <w:locked/>
    <w:rsid w:val="005C2488"/>
    <w:rPr>
      <w:rFonts w:ascii="Arial" w:hAnsi="Arial" w:cs="Times New Roman"/>
      <w:lang w:val="de-AT" w:eastAsia="de-DE" w:bidi="ar-SA"/>
    </w:rPr>
  </w:style>
  <w:style w:type="paragraph" w:customStyle="1" w:styleId="Listenabsatz1">
    <w:name w:val="Listenabsatz1"/>
    <w:basedOn w:val="Normal"/>
    <w:uiPriority w:val="99"/>
    <w:rsid w:val="000054B1"/>
    <w:pPr>
      <w:spacing w:after="200" w:line="276" w:lineRule="auto"/>
      <w:ind w:left="720"/>
      <w:jc w:val="left"/>
    </w:pPr>
  </w:style>
  <w:style w:type="paragraph" w:customStyle="1" w:styleId="HeadingBase">
    <w:name w:val="Heading Base"/>
    <w:basedOn w:val="BodyText"/>
    <w:next w:val="BodyText"/>
    <w:link w:val="HeadingBaseChar"/>
    <w:uiPriority w:val="99"/>
    <w:rsid w:val="000054B1"/>
    <w:pPr>
      <w:keepNext/>
      <w:keepLines/>
      <w:spacing w:before="240"/>
    </w:pPr>
    <w:rPr>
      <w:rFonts w:ascii="Arial" w:hAnsi="Arial" w:cs="Arial"/>
      <w:bCs/>
      <w:i/>
      <w:color w:val="000080"/>
      <w:kern w:val="20"/>
      <w:sz w:val="20"/>
      <w:szCs w:val="20"/>
    </w:rPr>
  </w:style>
  <w:style w:type="character" w:customStyle="1" w:styleId="HeadingBaseChar">
    <w:name w:val="Heading Base Char"/>
    <w:basedOn w:val="DefaultParagraphFont"/>
    <w:link w:val="HeadingBase"/>
    <w:uiPriority w:val="99"/>
    <w:locked/>
    <w:rsid w:val="000054B1"/>
    <w:rPr>
      <w:rFonts w:ascii="Arial" w:hAnsi="Arial" w:cs="Arial"/>
      <w:b/>
      <w:bCs/>
      <w:i/>
      <w:color w:val="000080"/>
      <w:kern w:val="20"/>
      <w:lang w:val="en-GB"/>
    </w:rPr>
  </w:style>
  <w:style w:type="paragraph" w:customStyle="1" w:styleId="DefaultParagraphFontParaCharCharCharCharCharChar1CharCharCharCharCharCharCharCharCharCharCar">
    <w:name w:val="Default Paragraph Font Para Char Char Char Char Char Char1 Char Char Char Char Char Char Char Char Char Char Car"/>
    <w:basedOn w:val="Normal"/>
    <w:uiPriority w:val="99"/>
    <w:rsid w:val="00BC64E4"/>
    <w:pPr>
      <w:spacing w:after="160" w:line="240" w:lineRule="exact"/>
      <w:jc w:val="left"/>
    </w:pPr>
    <w:rPr>
      <w:rFonts w:ascii="Arial" w:hAnsi="Arial" w:cs="Times New Roman"/>
      <w:sz w:val="20"/>
      <w:szCs w:val="20"/>
    </w:rPr>
  </w:style>
  <w:style w:type="paragraph" w:customStyle="1" w:styleId="mberschrift1">
    <w:name w:val="m_Überschrift 1"/>
    <w:next w:val="mStandard"/>
    <w:uiPriority w:val="99"/>
    <w:rsid w:val="00BC64E4"/>
    <w:pPr>
      <w:keepNext/>
      <w:keepLines/>
      <w:framePr w:hSpace="142" w:vSpace="142" w:wrap="around" w:vAnchor="page" w:hAnchor="margin" w:y="1532"/>
      <w:numPr>
        <w:numId w:val="3"/>
      </w:numPr>
      <w:pBdr>
        <w:left w:val="single" w:sz="48" w:space="8" w:color="33CCCC"/>
      </w:pBdr>
      <w:tabs>
        <w:tab w:val="left" w:pos="227"/>
      </w:tabs>
      <w:spacing w:before="60" w:after="20"/>
      <w:ind w:left="227" w:hanging="227"/>
      <w:outlineLvl w:val="0"/>
    </w:pPr>
    <w:rPr>
      <w:rFonts w:ascii="Arial" w:hAnsi="Arial"/>
      <w:b/>
      <w:sz w:val="24"/>
      <w:szCs w:val="20"/>
      <w:lang w:val="de-AT" w:eastAsia="de-DE"/>
    </w:rPr>
  </w:style>
  <w:style w:type="paragraph" w:customStyle="1" w:styleId="mberschrift2">
    <w:name w:val="m_Überschrift 2"/>
    <w:next w:val="mStandard"/>
    <w:uiPriority w:val="99"/>
    <w:rsid w:val="00BC64E4"/>
    <w:pPr>
      <w:keepNext/>
      <w:keepLines/>
      <w:numPr>
        <w:ilvl w:val="1"/>
        <w:numId w:val="3"/>
      </w:numPr>
      <w:tabs>
        <w:tab w:val="clear" w:pos="360"/>
        <w:tab w:val="left" w:pos="454"/>
      </w:tabs>
      <w:spacing w:before="240" w:after="140" w:line="260" w:lineRule="exact"/>
      <w:ind w:left="454" w:hanging="454"/>
      <w:outlineLvl w:val="1"/>
    </w:pPr>
    <w:rPr>
      <w:rFonts w:ascii="Arial" w:hAnsi="Arial"/>
      <w:b/>
      <w:szCs w:val="20"/>
      <w:lang w:val="de-AT" w:eastAsia="de-DE"/>
    </w:rPr>
  </w:style>
  <w:style w:type="paragraph" w:customStyle="1" w:styleId="mberschrift3">
    <w:name w:val="m_Überschrift 3"/>
    <w:next w:val="mStandard"/>
    <w:uiPriority w:val="99"/>
    <w:rsid w:val="00BC64E4"/>
    <w:pPr>
      <w:keepNext/>
      <w:keepLines/>
      <w:numPr>
        <w:ilvl w:val="2"/>
        <w:numId w:val="3"/>
      </w:numPr>
      <w:tabs>
        <w:tab w:val="left" w:pos="567"/>
      </w:tabs>
      <w:spacing w:before="240" w:after="140" w:line="240" w:lineRule="exact"/>
      <w:ind w:left="567" w:hanging="567"/>
      <w:outlineLvl w:val="2"/>
    </w:pPr>
    <w:rPr>
      <w:rFonts w:ascii="Arial" w:hAnsi="Arial"/>
      <w:b/>
      <w:color w:val="5F5F5F"/>
      <w:sz w:val="20"/>
      <w:szCs w:val="20"/>
      <w:lang w:val="de-AT" w:eastAsia="de-DE"/>
    </w:rPr>
  </w:style>
  <w:style w:type="paragraph" w:customStyle="1" w:styleId="mberschrift4">
    <w:name w:val="m_Überschrift 4"/>
    <w:next w:val="mStandard"/>
    <w:uiPriority w:val="99"/>
    <w:rsid w:val="00BC64E4"/>
    <w:pPr>
      <w:keepNext/>
      <w:keepLines/>
      <w:numPr>
        <w:ilvl w:val="3"/>
        <w:numId w:val="3"/>
      </w:numPr>
      <w:tabs>
        <w:tab w:val="left" w:pos="680"/>
      </w:tabs>
      <w:spacing w:before="240" w:after="140"/>
      <w:ind w:left="680" w:hanging="680"/>
      <w:outlineLvl w:val="3"/>
    </w:pPr>
    <w:rPr>
      <w:rFonts w:ascii="Arial" w:hAnsi="Arial"/>
      <w:b/>
      <w:color w:val="5F5F5F"/>
      <w:sz w:val="18"/>
      <w:szCs w:val="20"/>
      <w:lang w:val="de-DE" w:eastAsia="de-DE"/>
    </w:rPr>
  </w:style>
  <w:style w:type="paragraph" w:styleId="List3">
    <w:name w:val="List 3"/>
    <w:basedOn w:val="Normal"/>
    <w:uiPriority w:val="99"/>
    <w:rsid w:val="00186BF8"/>
    <w:pPr>
      <w:spacing w:after="240"/>
      <w:ind w:left="849" w:hanging="283"/>
    </w:pPr>
    <w:rPr>
      <w:rFonts w:ascii="Arial" w:hAnsi="Arial" w:cs="Arial"/>
      <w:sz w:val="20"/>
      <w:szCs w:val="20"/>
      <w:lang w:eastAsia="en-GB"/>
    </w:rPr>
  </w:style>
  <w:style w:type="paragraph" w:styleId="CommentSubject">
    <w:name w:val="annotation subject"/>
    <w:basedOn w:val="CommentText"/>
    <w:next w:val="CommentText"/>
    <w:link w:val="CommentSubjectChar"/>
    <w:uiPriority w:val="99"/>
    <w:rsid w:val="008D4D5C"/>
    <w:rPr>
      <w:b/>
      <w:bCs/>
      <w:sz w:val="20"/>
      <w:szCs w:val="20"/>
    </w:rPr>
  </w:style>
  <w:style w:type="character" w:customStyle="1" w:styleId="CommentSubjectChar">
    <w:name w:val="Comment Subject Char"/>
    <w:basedOn w:val="CommentTextChar"/>
    <w:link w:val="CommentSubject"/>
    <w:uiPriority w:val="99"/>
    <w:locked/>
    <w:rsid w:val="008D4D5C"/>
    <w:rPr>
      <w:rFonts w:ascii="Calibri" w:hAnsi="Calibri" w:cs="Trebuchet MS"/>
      <w:b/>
      <w:bCs/>
      <w:sz w:val="24"/>
      <w:szCs w:val="24"/>
    </w:rPr>
  </w:style>
  <w:style w:type="paragraph" w:customStyle="1" w:styleId="Style1">
    <w:name w:val="Style1"/>
    <w:basedOn w:val="Heading2"/>
    <w:uiPriority w:val="99"/>
    <w:rsid w:val="00F07525"/>
    <w:pPr>
      <w:keepNext w:val="0"/>
      <w:pBdr>
        <w:bottom w:val="double" w:sz="4" w:space="1" w:color="E6E100"/>
      </w:pBdr>
      <w:spacing w:before="200" w:after="0" w:line="276" w:lineRule="auto"/>
      <w:jc w:val="left"/>
    </w:pPr>
    <w:rPr>
      <w:rFonts w:cs="Cambria"/>
      <w:i w:val="0"/>
      <w:iCs/>
      <w:lang w:val="ro-RO"/>
    </w:rPr>
  </w:style>
  <w:style w:type="paragraph" w:customStyle="1" w:styleId="HEADING3PROP">
    <w:name w:val="HEADING 3 PROP"/>
    <w:basedOn w:val="Normal"/>
    <w:next w:val="Normal"/>
    <w:autoRedefine/>
    <w:uiPriority w:val="99"/>
    <w:rsid w:val="00F07525"/>
    <w:pPr>
      <w:widowControl w:val="0"/>
      <w:pBdr>
        <w:top w:val="single" w:sz="8" w:space="4" w:color="E6E100"/>
        <w:left w:val="single" w:sz="8" w:space="4" w:color="E6E100"/>
        <w:bottom w:val="single" w:sz="8" w:space="4" w:color="E6E100"/>
        <w:right w:val="single" w:sz="8" w:space="4" w:color="E6E100"/>
      </w:pBdr>
      <w:shd w:val="clear" w:color="auto" w:fill="FFFFFF"/>
      <w:spacing w:before="240" w:line="276" w:lineRule="auto"/>
      <w:jc w:val="left"/>
    </w:pPr>
    <w:rPr>
      <w:rFonts w:eastAsia="SimSun" w:cs="Tahoma"/>
      <w:b/>
      <w:bCs/>
      <w:color w:val="99CC00"/>
      <w:spacing w:val="10"/>
      <w:sz w:val="24"/>
      <w:szCs w:val="24"/>
      <w:lang w:val="ro-RO" w:eastAsia="zh-CN"/>
    </w:rPr>
  </w:style>
  <w:style w:type="paragraph" w:styleId="ListParagraph">
    <w:name w:val="List Paragraph"/>
    <w:basedOn w:val="Normal"/>
    <w:uiPriority w:val="34"/>
    <w:qFormat/>
    <w:rsid w:val="0059159B"/>
    <w:pPr>
      <w:ind w:left="720"/>
      <w:contextualSpacing/>
    </w:pPr>
  </w:style>
  <w:style w:type="paragraph" w:styleId="EndnoteText">
    <w:name w:val="endnote text"/>
    <w:basedOn w:val="Normal"/>
    <w:link w:val="EndnoteTextChar"/>
    <w:uiPriority w:val="99"/>
    <w:semiHidden/>
    <w:unhideWhenUsed/>
    <w:rsid w:val="00001E7C"/>
    <w:pPr>
      <w:spacing w:after="0"/>
    </w:pPr>
    <w:rPr>
      <w:sz w:val="20"/>
      <w:szCs w:val="20"/>
    </w:rPr>
  </w:style>
  <w:style w:type="character" w:customStyle="1" w:styleId="EndnoteTextChar">
    <w:name w:val="Endnote Text Char"/>
    <w:basedOn w:val="DefaultParagraphFont"/>
    <w:link w:val="EndnoteText"/>
    <w:uiPriority w:val="99"/>
    <w:semiHidden/>
    <w:rsid w:val="00001E7C"/>
    <w:rPr>
      <w:rFonts w:ascii="Calibri" w:hAnsi="Calibri" w:cs="Trebuchet MS"/>
      <w:sz w:val="20"/>
      <w:szCs w:val="20"/>
      <w:lang w:val="en-US" w:eastAsia="en-US"/>
    </w:rPr>
  </w:style>
  <w:style w:type="character" w:styleId="EndnoteReference">
    <w:name w:val="endnote reference"/>
    <w:basedOn w:val="DefaultParagraphFont"/>
    <w:uiPriority w:val="99"/>
    <w:semiHidden/>
    <w:unhideWhenUsed/>
    <w:rsid w:val="00001E7C"/>
    <w:rPr>
      <w:vertAlign w:val="superscript"/>
    </w:rPr>
  </w:style>
  <w:style w:type="paragraph" w:customStyle="1" w:styleId="StileSommario2Sinistro15cmSporgente025cm">
    <w:name w:val="Stile Sommario 2 + Sinistro:  15 cm Sporgente  025 cm"/>
    <w:basedOn w:val="TOC2"/>
    <w:rsid w:val="00913232"/>
    <w:pPr>
      <w:ind w:left="993" w:hanging="141"/>
    </w:pPr>
    <w:rPr>
      <w:rFonts w:cs="Times New Roman"/>
      <w:sz w:val="24"/>
      <w:szCs w:val="20"/>
    </w:rPr>
  </w:style>
  <w:style w:type="character" w:customStyle="1" w:styleId="s41">
    <w:name w:val="s41"/>
    <w:basedOn w:val="DefaultParagraphFont"/>
    <w:rsid w:val="00A040FB"/>
    <w:rPr>
      <w:rFonts w:ascii="Verdana" w:hAnsi="Verdana" w:hint="default"/>
      <w:strike w:val="0"/>
      <w:dstrike w:val="0"/>
      <w:color w:val="006699"/>
      <w:sz w:val="18"/>
      <w:szCs w:val="18"/>
      <w:u w:val="none"/>
      <w:effect w:val="none"/>
    </w:rPr>
  </w:style>
  <w:style w:type="paragraph" w:styleId="NoSpacing">
    <w:name w:val="No Spacing"/>
    <w:uiPriority w:val="1"/>
    <w:qFormat/>
    <w:rsid w:val="00A040FB"/>
    <w:pPr>
      <w:jc w:val="both"/>
    </w:pPr>
    <w:rPr>
      <w:rFonts w:ascii="Calibri" w:hAnsi="Calibri" w:cs="Trebuchet MS"/>
      <w:lang w:val="en-US" w:eastAsia="en-US"/>
    </w:rPr>
  </w:style>
  <w:style w:type="character" w:customStyle="1" w:styleId="apple-converted-space">
    <w:name w:val="apple-converted-space"/>
    <w:basedOn w:val="DefaultParagraphFont"/>
    <w:rsid w:val="00AC05C5"/>
  </w:style>
  <w:style w:type="table" w:styleId="TableGrid">
    <w:name w:val="Table Grid"/>
    <w:basedOn w:val="TableNormal"/>
    <w:uiPriority w:val="59"/>
    <w:rsid w:val="00654A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7E4CBA"/>
    <w:pPr>
      <w:widowControl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E4CBA"/>
    <w:pPr>
      <w:widowControl w:val="0"/>
      <w:spacing w:after="0"/>
      <w:jc w:val="left"/>
    </w:pPr>
    <w:rPr>
      <w:rFonts w:asciiTheme="minorHAnsi" w:eastAsiaTheme="minorHAnsi" w:hAnsiTheme="minorHAnsi" w:cstheme="minorBidi"/>
    </w:rPr>
  </w:style>
  <w:style w:type="character" w:styleId="Strong">
    <w:name w:val="Strong"/>
    <w:basedOn w:val="DefaultParagraphFont"/>
    <w:uiPriority w:val="22"/>
    <w:qFormat/>
    <w:locked/>
    <w:rsid w:val="00DB6CEE"/>
    <w:rPr>
      <w:b/>
      <w:bCs/>
    </w:rPr>
  </w:style>
  <w:style w:type="character" w:customStyle="1" w:styleId="aidanews2text">
    <w:name w:val="aidanews2_text"/>
    <w:basedOn w:val="DefaultParagraphFont"/>
    <w:rsid w:val="00DB6CEE"/>
  </w:style>
  <w:style w:type="character" w:customStyle="1" w:styleId="st1">
    <w:name w:val="st1"/>
    <w:basedOn w:val="DefaultParagraphFont"/>
    <w:rsid w:val="00DB6CEE"/>
  </w:style>
  <w:style w:type="character" w:styleId="IntenseEmphasis">
    <w:name w:val="Intense Emphasis"/>
    <w:basedOn w:val="DefaultParagraphFont"/>
    <w:uiPriority w:val="21"/>
    <w:qFormat/>
    <w:rsid w:val="00EF6CF8"/>
    <w:rPr>
      <w:b/>
      <w:bCs/>
      <w:i/>
      <w:iCs/>
      <w:color w:val="4F81BD" w:themeColor="accent1"/>
    </w:rPr>
  </w:style>
  <w:style w:type="paragraph" w:styleId="Revision">
    <w:name w:val="Revision"/>
    <w:hidden/>
    <w:uiPriority w:val="99"/>
    <w:semiHidden/>
    <w:rsid w:val="00057209"/>
    <w:rPr>
      <w:rFonts w:ascii="Calibri" w:hAnsi="Calibri" w:cs="Trebuchet MS"/>
      <w:lang w:val="en-US" w:eastAsia="en-US"/>
    </w:rPr>
  </w:style>
  <w:style w:type="paragraph" w:styleId="HTMLAddress">
    <w:name w:val="HTML Address"/>
    <w:basedOn w:val="Normal"/>
    <w:link w:val="HTMLAddressChar"/>
    <w:uiPriority w:val="99"/>
    <w:unhideWhenUsed/>
    <w:rsid w:val="00B344AA"/>
    <w:pPr>
      <w:spacing w:after="0"/>
    </w:pPr>
    <w:rPr>
      <w:i/>
      <w:iCs/>
    </w:rPr>
  </w:style>
  <w:style w:type="character" w:customStyle="1" w:styleId="HTMLAddressChar">
    <w:name w:val="HTML Address Char"/>
    <w:basedOn w:val="DefaultParagraphFont"/>
    <w:link w:val="HTMLAddress"/>
    <w:uiPriority w:val="99"/>
    <w:rsid w:val="00B344AA"/>
    <w:rPr>
      <w:rFonts w:ascii="Calibri" w:hAnsi="Calibri" w:cs="Trebuchet MS"/>
      <w:i/>
      <w:iCs/>
      <w:lang w:val="en-GB" w:eastAsia="en-US"/>
    </w:rPr>
  </w:style>
  <w:style w:type="character" w:customStyle="1" w:styleId="hps">
    <w:name w:val="hps"/>
    <w:basedOn w:val="DefaultParagraphFont"/>
    <w:rsid w:val="004B54BA"/>
  </w:style>
  <w:style w:type="character" w:customStyle="1" w:styleId="shorttext">
    <w:name w:val="short_text"/>
    <w:basedOn w:val="DefaultParagraphFont"/>
    <w:rsid w:val="004B54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6108">
      <w:bodyDiv w:val="1"/>
      <w:marLeft w:val="0"/>
      <w:marRight w:val="0"/>
      <w:marTop w:val="0"/>
      <w:marBottom w:val="0"/>
      <w:divBdr>
        <w:top w:val="none" w:sz="0" w:space="0" w:color="auto"/>
        <w:left w:val="none" w:sz="0" w:space="0" w:color="auto"/>
        <w:bottom w:val="none" w:sz="0" w:space="0" w:color="auto"/>
        <w:right w:val="none" w:sz="0" w:space="0" w:color="auto"/>
      </w:divBdr>
    </w:div>
    <w:div w:id="26758927">
      <w:bodyDiv w:val="1"/>
      <w:marLeft w:val="0"/>
      <w:marRight w:val="0"/>
      <w:marTop w:val="0"/>
      <w:marBottom w:val="0"/>
      <w:divBdr>
        <w:top w:val="none" w:sz="0" w:space="0" w:color="auto"/>
        <w:left w:val="none" w:sz="0" w:space="0" w:color="auto"/>
        <w:bottom w:val="none" w:sz="0" w:space="0" w:color="auto"/>
        <w:right w:val="none" w:sz="0" w:space="0" w:color="auto"/>
      </w:divBdr>
      <w:divsChild>
        <w:div w:id="329456205">
          <w:marLeft w:val="0"/>
          <w:marRight w:val="0"/>
          <w:marTop w:val="0"/>
          <w:marBottom w:val="0"/>
          <w:divBdr>
            <w:top w:val="none" w:sz="0" w:space="0" w:color="auto"/>
            <w:left w:val="none" w:sz="0" w:space="0" w:color="auto"/>
            <w:bottom w:val="none" w:sz="0" w:space="0" w:color="auto"/>
            <w:right w:val="none" w:sz="0" w:space="0" w:color="auto"/>
          </w:divBdr>
          <w:divsChild>
            <w:div w:id="1792944108">
              <w:marLeft w:val="0"/>
              <w:marRight w:val="0"/>
              <w:marTop w:val="0"/>
              <w:marBottom w:val="0"/>
              <w:divBdr>
                <w:top w:val="none" w:sz="0" w:space="0" w:color="auto"/>
                <w:left w:val="none" w:sz="0" w:space="0" w:color="auto"/>
                <w:bottom w:val="none" w:sz="0" w:space="0" w:color="auto"/>
                <w:right w:val="none" w:sz="0" w:space="0" w:color="auto"/>
              </w:divBdr>
              <w:divsChild>
                <w:div w:id="374157868">
                  <w:marLeft w:val="0"/>
                  <w:marRight w:val="0"/>
                  <w:marTop w:val="0"/>
                  <w:marBottom w:val="0"/>
                  <w:divBdr>
                    <w:top w:val="none" w:sz="0" w:space="0" w:color="auto"/>
                    <w:left w:val="none" w:sz="0" w:space="0" w:color="auto"/>
                    <w:bottom w:val="none" w:sz="0" w:space="0" w:color="auto"/>
                    <w:right w:val="none" w:sz="0" w:space="0" w:color="auto"/>
                  </w:divBdr>
                  <w:divsChild>
                    <w:div w:id="1496070952">
                      <w:marLeft w:val="0"/>
                      <w:marRight w:val="0"/>
                      <w:marTop w:val="0"/>
                      <w:marBottom w:val="0"/>
                      <w:divBdr>
                        <w:top w:val="none" w:sz="0" w:space="0" w:color="auto"/>
                        <w:left w:val="none" w:sz="0" w:space="0" w:color="auto"/>
                        <w:bottom w:val="none" w:sz="0" w:space="0" w:color="auto"/>
                        <w:right w:val="none" w:sz="0" w:space="0" w:color="auto"/>
                      </w:divBdr>
                      <w:divsChild>
                        <w:div w:id="557590400">
                          <w:marLeft w:val="0"/>
                          <w:marRight w:val="0"/>
                          <w:marTop w:val="0"/>
                          <w:marBottom w:val="0"/>
                          <w:divBdr>
                            <w:top w:val="none" w:sz="0" w:space="0" w:color="auto"/>
                            <w:left w:val="none" w:sz="0" w:space="0" w:color="auto"/>
                            <w:bottom w:val="none" w:sz="0" w:space="0" w:color="auto"/>
                            <w:right w:val="none" w:sz="0" w:space="0" w:color="auto"/>
                          </w:divBdr>
                          <w:divsChild>
                            <w:div w:id="16154233">
                              <w:marLeft w:val="0"/>
                              <w:marRight w:val="0"/>
                              <w:marTop w:val="0"/>
                              <w:marBottom w:val="0"/>
                              <w:divBdr>
                                <w:top w:val="none" w:sz="0" w:space="0" w:color="auto"/>
                                <w:left w:val="none" w:sz="0" w:space="0" w:color="auto"/>
                                <w:bottom w:val="none" w:sz="0" w:space="0" w:color="auto"/>
                                <w:right w:val="none" w:sz="0" w:space="0" w:color="auto"/>
                              </w:divBdr>
                            </w:div>
                          </w:divsChild>
                        </w:div>
                        <w:div w:id="978265209">
                          <w:marLeft w:val="0"/>
                          <w:marRight w:val="0"/>
                          <w:marTop w:val="0"/>
                          <w:marBottom w:val="0"/>
                          <w:divBdr>
                            <w:top w:val="none" w:sz="0" w:space="0" w:color="auto"/>
                            <w:left w:val="none" w:sz="0" w:space="0" w:color="auto"/>
                            <w:bottom w:val="none" w:sz="0" w:space="0" w:color="auto"/>
                            <w:right w:val="none" w:sz="0" w:space="0" w:color="auto"/>
                          </w:divBdr>
                          <w:divsChild>
                            <w:div w:id="1089697488">
                              <w:marLeft w:val="0"/>
                              <w:marRight w:val="0"/>
                              <w:marTop w:val="0"/>
                              <w:marBottom w:val="0"/>
                              <w:divBdr>
                                <w:top w:val="none" w:sz="0" w:space="0" w:color="auto"/>
                                <w:left w:val="none" w:sz="0" w:space="0" w:color="auto"/>
                                <w:bottom w:val="none" w:sz="0" w:space="0" w:color="auto"/>
                                <w:right w:val="none" w:sz="0" w:space="0" w:color="auto"/>
                              </w:divBdr>
                              <w:divsChild>
                                <w:div w:id="2107844650">
                                  <w:marLeft w:val="0"/>
                                  <w:marRight w:val="0"/>
                                  <w:marTop w:val="0"/>
                                  <w:marBottom w:val="0"/>
                                  <w:divBdr>
                                    <w:top w:val="none" w:sz="0" w:space="0" w:color="auto"/>
                                    <w:left w:val="none" w:sz="0" w:space="0" w:color="auto"/>
                                    <w:bottom w:val="none" w:sz="0" w:space="0" w:color="auto"/>
                                    <w:right w:val="none" w:sz="0" w:space="0" w:color="auto"/>
                                  </w:divBdr>
                                </w:div>
                                <w:div w:id="1916814460">
                                  <w:marLeft w:val="0"/>
                                  <w:marRight w:val="0"/>
                                  <w:marTop w:val="0"/>
                                  <w:marBottom w:val="0"/>
                                  <w:divBdr>
                                    <w:top w:val="none" w:sz="0" w:space="0" w:color="auto"/>
                                    <w:left w:val="none" w:sz="0" w:space="0" w:color="auto"/>
                                    <w:bottom w:val="none" w:sz="0" w:space="0" w:color="auto"/>
                                    <w:right w:val="none" w:sz="0" w:space="0" w:color="auto"/>
                                  </w:divBdr>
                                </w:div>
                                <w:div w:id="2017609633">
                                  <w:marLeft w:val="0"/>
                                  <w:marRight w:val="0"/>
                                  <w:marTop w:val="0"/>
                                  <w:marBottom w:val="0"/>
                                  <w:divBdr>
                                    <w:top w:val="none" w:sz="0" w:space="0" w:color="auto"/>
                                    <w:left w:val="none" w:sz="0" w:space="0" w:color="auto"/>
                                    <w:bottom w:val="none" w:sz="0" w:space="0" w:color="auto"/>
                                    <w:right w:val="none" w:sz="0" w:space="0" w:color="auto"/>
                                  </w:divBdr>
                                </w:div>
                                <w:div w:id="1976831337">
                                  <w:marLeft w:val="0"/>
                                  <w:marRight w:val="0"/>
                                  <w:marTop w:val="0"/>
                                  <w:marBottom w:val="0"/>
                                  <w:divBdr>
                                    <w:top w:val="none" w:sz="0" w:space="0" w:color="auto"/>
                                    <w:left w:val="none" w:sz="0" w:space="0" w:color="auto"/>
                                    <w:bottom w:val="none" w:sz="0" w:space="0" w:color="auto"/>
                                    <w:right w:val="none" w:sz="0" w:space="0" w:color="auto"/>
                                  </w:divBdr>
                                </w:div>
                                <w:div w:id="1888754632">
                                  <w:marLeft w:val="0"/>
                                  <w:marRight w:val="0"/>
                                  <w:marTop w:val="0"/>
                                  <w:marBottom w:val="0"/>
                                  <w:divBdr>
                                    <w:top w:val="none" w:sz="0" w:space="0" w:color="auto"/>
                                    <w:left w:val="none" w:sz="0" w:space="0" w:color="auto"/>
                                    <w:bottom w:val="none" w:sz="0" w:space="0" w:color="auto"/>
                                    <w:right w:val="none" w:sz="0" w:space="0" w:color="auto"/>
                                  </w:divBdr>
                                </w:div>
                                <w:div w:id="1492478067">
                                  <w:marLeft w:val="0"/>
                                  <w:marRight w:val="0"/>
                                  <w:marTop w:val="0"/>
                                  <w:marBottom w:val="0"/>
                                  <w:divBdr>
                                    <w:top w:val="none" w:sz="0" w:space="0" w:color="auto"/>
                                    <w:left w:val="none" w:sz="0" w:space="0" w:color="auto"/>
                                    <w:bottom w:val="none" w:sz="0" w:space="0" w:color="auto"/>
                                    <w:right w:val="none" w:sz="0" w:space="0" w:color="auto"/>
                                  </w:divBdr>
                                </w:div>
                                <w:div w:id="890262971">
                                  <w:marLeft w:val="0"/>
                                  <w:marRight w:val="0"/>
                                  <w:marTop w:val="0"/>
                                  <w:marBottom w:val="0"/>
                                  <w:divBdr>
                                    <w:top w:val="none" w:sz="0" w:space="0" w:color="auto"/>
                                    <w:left w:val="none" w:sz="0" w:space="0" w:color="auto"/>
                                    <w:bottom w:val="none" w:sz="0" w:space="0" w:color="auto"/>
                                    <w:right w:val="none" w:sz="0" w:space="0" w:color="auto"/>
                                  </w:divBdr>
                                </w:div>
                                <w:div w:id="260913033">
                                  <w:marLeft w:val="0"/>
                                  <w:marRight w:val="0"/>
                                  <w:marTop w:val="0"/>
                                  <w:marBottom w:val="0"/>
                                  <w:divBdr>
                                    <w:top w:val="none" w:sz="0" w:space="0" w:color="auto"/>
                                    <w:left w:val="none" w:sz="0" w:space="0" w:color="auto"/>
                                    <w:bottom w:val="none" w:sz="0" w:space="0" w:color="auto"/>
                                    <w:right w:val="none" w:sz="0" w:space="0" w:color="auto"/>
                                  </w:divBdr>
                                </w:div>
                                <w:div w:id="248999969">
                                  <w:marLeft w:val="0"/>
                                  <w:marRight w:val="0"/>
                                  <w:marTop w:val="0"/>
                                  <w:marBottom w:val="0"/>
                                  <w:divBdr>
                                    <w:top w:val="none" w:sz="0" w:space="0" w:color="auto"/>
                                    <w:left w:val="none" w:sz="0" w:space="0" w:color="auto"/>
                                    <w:bottom w:val="none" w:sz="0" w:space="0" w:color="auto"/>
                                    <w:right w:val="none" w:sz="0" w:space="0" w:color="auto"/>
                                  </w:divBdr>
                                </w:div>
                                <w:div w:id="1018387133">
                                  <w:marLeft w:val="0"/>
                                  <w:marRight w:val="0"/>
                                  <w:marTop w:val="0"/>
                                  <w:marBottom w:val="0"/>
                                  <w:divBdr>
                                    <w:top w:val="none" w:sz="0" w:space="0" w:color="auto"/>
                                    <w:left w:val="none" w:sz="0" w:space="0" w:color="auto"/>
                                    <w:bottom w:val="none" w:sz="0" w:space="0" w:color="auto"/>
                                    <w:right w:val="none" w:sz="0" w:space="0" w:color="auto"/>
                                  </w:divBdr>
                                </w:div>
                                <w:div w:id="889347292">
                                  <w:marLeft w:val="0"/>
                                  <w:marRight w:val="0"/>
                                  <w:marTop w:val="0"/>
                                  <w:marBottom w:val="0"/>
                                  <w:divBdr>
                                    <w:top w:val="none" w:sz="0" w:space="0" w:color="auto"/>
                                    <w:left w:val="none" w:sz="0" w:space="0" w:color="auto"/>
                                    <w:bottom w:val="none" w:sz="0" w:space="0" w:color="auto"/>
                                    <w:right w:val="none" w:sz="0" w:space="0" w:color="auto"/>
                                  </w:divBdr>
                                </w:div>
                                <w:div w:id="316227059">
                                  <w:marLeft w:val="0"/>
                                  <w:marRight w:val="0"/>
                                  <w:marTop w:val="0"/>
                                  <w:marBottom w:val="0"/>
                                  <w:divBdr>
                                    <w:top w:val="none" w:sz="0" w:space="0" w:color="auto"/>
                                    <w:left w:val="none" w:sz="0" w:space="0" w:color="auto"/>
                                    <w:bottom w:val="none" w:sz="0" w:space="0" w:color="auto"/>
                                    <w:right w:val="none" w:sz="0" w:space="0" w:color="auto"/>
                                  </w:divBdr>
                                </w:div>
                                <w:div w:id="758521318">
                                  <w:marLeft w:val="0"/>
                                  <w:marRight w:val="0"/>
                                  <w:marTop w:val="0"/>
                                  <w:marBottom w:val="0"/>
                                  <w:divBdr>
                                    <w:top w:val="none" w:sz="0" w:space="0" w:color="auto"/>
                                    <w:left w:val="none" w:sz="0" w:space="0" w:color="auto"/>
                                    <w:bottom w:val="none" w:sz="0" w:space="0" w:color="auto"/>
                                    <w:right w:val="none" w:sz="0" w:space="0" w:color="auto"/>
                                  </w:divBdr>
                                </w:div>
                                <w:div w:id="14159977">
                                  <w:marLeft w:val="0"/>
                                  <w:marRight w:val="0"/>
                                  <w:marTop w:val="0"/>
                                  <w:marBottom w:val="0"/>
                                  <w:divBdr>
                                    <w:top w:val="none" w:sz="0" w:space="0" w:color="auto"/>
                                    <w:left w:val="none" w:sz="0" w:space="0" w:color="auto"/>
                                    <w:bottom w:val="none" w:sz="0" w:space="0" w:color="auto"/>
                                    <w:right w:val="none" w:sz="0" w:space="0" w:color="auto"/>
                                  </w:divBdr>
                                </w:div>
                                <w:div w:id="658775591">
                                  <w:marLeft w:val="0"/>
                                  <w:marRight w:val="0"/>
                                  <w:marTop w:val="0"/>
                                  <w:marBottom w:val="0"/>
                                  <w:divBdr>
                                    <w:top w:val="none" w:sz="0" w:space="0" w:color="auto"/>
                                    <w:left w:val="none" w:sz="0" w:space="0" w:color="auto"/>
                                    <w:bottom w:val="none" w:sz="0" w:space="0" w:color="auto"/>
                                    <w:right w:val="none" w:sz="0" w:space="0" w:color="auto"/>
                                  </w:divBdr>
                                </w:div>
                                <w:div w:id="1620532558">
                                  <w:marLeft w:val="0"/>
                                  <w:marRight w:val="0"/>
                                  <w:marTop w:val="0"/>
                                  <w:marBottom w:val="0"/>
                                  <w:divBdr>
                                    <w:top w:val="none" w:sz="0" w:space="0" w:color="auto"/>
                                    <w:left w:val="none" w:sz="0" w:space="0" w:color="auto"/>
                                    <w:bottom w:val="none" w:sz="0" w:space="0" w:color="auto"/>
                                    <w:right w:val="none" w:sz="0" w:space="0" w:color="auto"/>
                                  </w:divBdr>
                                </w:div>
                                <w:div w:id="280839778">
                                  <w:marLeft w:val="0"/>
                                  <w:marRight w:val="0"/>
                                  <w:marTop w:val="0"/>
                                  <w:marBottom w:val="0"/>
                                  <w:divBdr>
                                    <w:top w:val="none" w:sz="0" w:space="0" w:color="auto"/>
                                    <w:left w:val="none" w:sz="0" w:space="0" w:color="auto"/>
                                    <w:bottom w:val="none" w:sz="0" w:space="0" w:color="auto"/>
                                    <w:right w:val="none" w:sz="0" w:space="0" w:color="auto"/>
                                  </w:divBdr>
                                </w:div>
                                <w:div w:id="1064597274">
                                  <w:marLeft w:val="0"/>
                                  <w:marRight w:val="0"/>
                                  <w:marTop w:val="0"/>
                                  <w:marBottom w:val="0"/>
                                  <w:divBdr>
                                    <w:top w:val="none" w:sz="0" w:space="0" w:color="auto"/>
                                    <w:left w:val="none" w:sz="0" w:space="0" w:color="auto"/>
                                    <w:bottom w:val="none" w:sz="0" w:space="0" w:color="auto"/>
                                    <w:right w:val="none" w:sz="0" w:space="0" w:color="auto"/>
                                  </w:divBdr>
                                </w:div>
                                <w:div w:id="1158572634">
                                  <w:marLeft w:val="0"/>
                                  <w:marRight w:val="0"/>
                                  <w:marTop w:val="0"/>
                                  <w:marBottom w:val="0"/>
                                  <w:divBdr>
                                    <w:top w:val="none" w:sz="0" w:space="0" w:color="auto"/>
                                    <w:left w:val="none" w:sz="0" w:space="0" w:color="auto"/>
                                    <w:bottom w:val="none" w:sz="0" w:space="0" w:color="auto"/>
                                    <w:right w:val="none" w:sz="0" w:space="0" w:color="auto"/>
                                  </w:divBdr>
                                </w:div>
                                <w:div w:id="948663404">
                                  <w:marLeft w:val="0"/>
                                  <w:marRight w:val="0"/>
                                  <w:marTop w:val="0"/>
                                  <w:marBottom w:val="0"/>
                                  <w:divBdr>
                                    <w:top w:val="none" w:sz="0" w:space="0" w:color="auto"/>
                                    <w:left w:val="none" w:sz="0" w:space="0" w:color="auto"/>
                                    <w:bottom w:val="none" w:sz="0" w:space="0" w:color="auto"/>
                                    <w:right w:val="none" w:sz="0" w:space="0" w:color="auto"/>
                                  </w:divBdr>
                                </w:div>
                                <w:div w:id="1832065261">
                                  <w:marLeft w:val="0"/>
                                  <w:marRight w:val="0"/>
                                  <w:marTop w:val="0"/>
                                  <w:marBottom w:val="0"/>
                                  <w:divBdr>
                                    <w:top w:val="none" w:sz="0" w:space="0" w:color="auto"/>
                                    <w:left w:val="none" w:sz="0" w:space="0" w:color="auto"/>
                                    <w:bottom w:val="none" w:sz="0" w:space="0" w:color="auto"/>
                                    <w:right w:val="none" w:sz="0" w:space="0" w:color="auto"/>
                                  </w:divBdr>
                                </w:div>
                                <w:div w:id="1088504943">
                                  <w:marLeft w:val="0"/>
                                  <w:marRight w:val="0"/>
                                  <w:marTop w:val="0"/>
                                  <w:marBottom w:val="0"/>
                                  <w:divBdr>
                                    <w:top w:val="none" w:sz="0" w:space="0" w:color="auto"/>
                                    <w:left w:val="none" w:sz="0" w:space="0" w:color="auto"/>
                                    <w:bottom w:val="none" w:sz="0" w:space="0" w:color="auto"/>
                                    <w:right w:val="none" w:sz="0" w:space="0" w:color="auto"/>
                                  </w:divBdr>
                                </w:div>
                                <w:div w:id="1759597117">
                                  <w:marLeft w:val="0"/>
                                  <w:marRight w:val="0"/>
                                  <w:marTop w:val="0"/>
                                  <w:marBottom w:val="0"/>
                                  <w:divBdr>
                                    <w:top w:val="none" w:sz="0" w:space="0" w:color="auto"/>
                                    <w:left w:val="none" w:sz="0" w:space="0" w:color="auto"/>
                                    <w:bottom w:val="none" w:sz="0" w:space="0" w:color="auto"/>
                                    <w:right w:val="none" w:sz="0" w:space="0" w:color="auto"/>
                                  </w:divBdr>
                                </w:div>
                                <w:div w:id="417093050">
                                  <w:marLeft w:val="0"/>
                                  <w:marRight w:val="0"/>
                                  <w:marTop w:val="0"/>
                                  <w:marBottom w:val="0"/>
                                  <w:divBdr>
                                    <w:top w:val="none" w:sz="0" w:space="0" w:color="auto"/>
                                    <w:left w:val="none" w:sz="0" w:space="0" w:color="auto"/>
                                    <w:bottom w:val="none" w:sz="0" w:space="0" w:color="auto"/>
                                    <w:right w:val="none" w:sz="0" w:space="0" w:color="auto"/>
                                  </w:divBdr>
                                </w:div>
                                <w:div w:id="1403137193">
                                  <w:marLeft w:val="0"/>
                                  <w:marRight w:val="0"/>
                                  <w:marTop w:val="0"/>
                                  <w:marBottom w:val="0"/>
                                  <w:divBdr>
                                    <w:top w:val="none" w:sz="0" w:space="0" w:color="auto"/>
                                    <w:left w:val="none" w:sz="0" w:space="0" w:color="auto"/>
                                    <w:bottom w:val="none" w:sz="0" w:space="0" w:color="auto"/>
                                    <w:right w:val="none" w:sz="0" w:space="0" w:color="auto"/>
                                  </w:divBdr>
                                </w:div>
                                <w:div w:id="1409037583">
                                  <w:marLeft w:val="0"/>
                                  <w:marRight w:val="0"/>
                                  <w:marTop w:val="0"/>
                                  <w:marBottom w:val="0"/>
                                  <w:divBdr>
                                    <w:top w:val="none" w:sz="0" w:space="0" w:color="auto"/>
                                    <w:left w:val="none" w:sz="0" w:space="0" w:color="auto"/>
                                    <w:bottom w:val="none" w:sz="0" w:space="0" w:color="auto"/>
                                    <w:right w:val="none" w:sz="0" w:space="0" w:color="auto"/>
                                  </w:divBdr>
                                </w:div>
                                <w:div w:id="107822843">
                                  <w:marLeft w:val="0"/>
                                  <w:marRight w:val="0"/>
                                  <w:marTop w:val="0"/>
                                  <w:marBottom w:val="0"/>
                                  <w:divBdr>
                                    <w:top w:val="none" w:sz="0" w:space="0" w:color="auto"/>
                                    <w:left w:val="none" w:sz="0" w:space="0" w:color="auto"/>
                                    <w:bottom w:val="none" w:sz="0" w:space="0" w:color="auto"/>
                                    <w:right w:val="none" w:sz="0" w:space="0" w:color="auto"/>
                                  </w:divBdr>
                                </w:div>
                                <w:div w:id="1142504105">
                                  <w:marLeft w:val="0"/>
                                  <w:marRight w:val="0"/>
                                  <w:marTop w:val="0"/>
                                  <w:marBottom w:val="0"/>
                                  <w:divBdr>
                                    <w:top w:val="none" w:sz="0" w:space="0" w:color="auto"/>
                                    <w:left w:val="none" w:sz="0" w:space="0" w:color="auto"/>
                                    <w:bottom w:val="none" w:sz="0" w:space="0" w:color="auto"/>
                                    <w:right w:val="none" w:sz="0" w:space="0" w:color="auto"/>
                                  </w:divBdr>
                                </w:div>
                                <w:div w:id="2084452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362371">
      <w:bodyDiv w:val="1"/>
      <w:marLeft w:val="0"/>
      <w:marRight w:val="0"/>
      <w:marTop w:val="0"/>
      <w:marBottom w:val="0"/>
      <w:divBdr>
        <w:top w:val="none" w:sz="0" w:space="0" w:color="auto"/>
        <w:left w:val="none" w:sz="0" w:space="0" w:color="auto"/>
        <w:bottom w:val="none" w:sz="0" w:space="0" w:color="auto"/>
        <w:right w:val="none" w:sz="0" w:space="0" w:color="auto"/>
      </w:divBdr>
    </w:div>
    <w:div w:id="89207681">
      <w:bodyDiv w:val="1"/>
      <w:marLeft w:val="0"/>
      <w:marRight w:val="0"/>
      <w:marTop w:val="0"/>
      <w:marBottom w:val="0"/>
      <w:divBdr>
        <w:top w:val="none" w:sz="0" w:space="0" w:color="auto"/>
        <w:left w:val="none" w:sz="0" w:space="0" w:color="auto"/>
        <w:bottom w:val="none" w:sz="0" w:space="0" w:color="auto"/>
        <w:right w:val="none" w:sz="0" w:space="0" w:color="auto"/>
      </w:divBdr>
    </w:div>
    <w:div w:id="158930915">
      <w:bodyDiv w:val="1"/>
      <w:marLeft w:val="0"/>
      <w:marRight w:val="0"/>
      <w:marTop w:val="0"/>
      <w:marBottom w:val="0"/>
      <w:divBdr>
        <w:top w:val="none" w:sz="0" w:space="0" w:color="auto"/>
        <w:left w:val="none" w:sz="0" w:space="0" w:color="auto"/>
        <w:bottom w:val="none" w:sz="0" w:space="0" w:color="auto"/>
        <w:right w:val="none" w:sz="0" w:space="0" w:color="auto"/>
      </w:divBdr>
    </w:div>
    <w:div w:id="167527249">
      <w:bodyDiv w:val="1"/>
      <w:marLeft w:val="0"/>
      <w:marRight w:val="0"/>
      <w:marTop w:val="0"/>
      <w:marBottom w:val="0"/>
      <w:divBdr>
        <w:top w:val="none" w:sz="0" w:space="0" w:color="auto"/>
        <w:left w:val="none" w:sz="0" w:space="0" w:color="auto"/>
        <w:bottom w:val="none" w:sz="0" w:space="0" w:color="auto"/>
        <w:right w:val="none" w:sz="0" w:space="0" w:color="auto"/>
      </w:divBdr>
      <w:divsChild>
        <w:div w:id="787166158">
          <w:marLeft w:val="547"/>
          <w:marRight w:val="0"/>
          <w:marTop w:val="115"/>
          <w:marBottom w:val="0"/>
          <w:divBdr>
            <w:top w:val="none" w:sz="0" w:space="0" w:color="auto"/>
            <w:left w:val="none" w:sz="0" w:space="0" w:color="auto"/>
            <w:bottom w:val="none" w:sz="0" w:space="0" w:color="auto"/>
            <w:right w:val="none" w:sz="0" w:space="0" w:color="auto"/>
          </w:divBdr>
        </w:div>
        <w:div w:id="1816986195">
          <w:marLeft w:val="547"/>
          <w:marRight w:val="0"/>
          <w:marTop w:val="115"/>
          <w:marBottom w:val="0"/>
          <w:divBdr>
            <w:top w:val="none" w:sz="0" w:space="0" w:color="auto"/>
            <w:left w:val="none" w:sz="0" w:space="0" w:color="auto"/>
            <w:bottom w:val="none" w:sz="0" w:space="0" w:color="auto"/>
            <w:right w:val="none" w:sz="0" w:space="0" w:color="auto"/>
          </w:divBdr>
        </w:div>
        <w:div w:id="1945377243">
          <w:marLeft w:val="547"/>
          <w:marRight w:val="0"/>
          <w:marTop w:val="115"/>
          <w:marBottom w:val="0"/>
          <w:divBdr>
            <w:top w:val="none" w:sz="0" w:space="0" w:color="auto"/>
            <w:left w:val="none" w:sz="0" w:space="0" w:color="auto"/>
            <w:bottom w:val="none" w:sz="0" w:space="0" w:color="auto"/>
            <w:right w:val="none" w:sz="0" w:space="0" w:color="auto"/>
          </w:divBdr>
        </w:div>
        <w:div w:id="2139302862">
          <w:marLeft w:val="547"/>
          <w:marRight w:val="0"/>
          <w:marTop w:val="115"/>
          <w:marBottom w:val="0"/>
          <w:divBdr>
            <w:top w:val="none" w:sz="0" w:space="0" w:color="auto"/>
            <w:left w:val="none" w:sz="0" w:space="0" w:color="auto"/>
            <w:bottom w:val="none" w:sz="0" w:space="0" w:color="auto"/>
            <w:right w:val="none" w:sz="0" w:space="0" w:color="auto"/>
          </w:divBdr>
        </w:div>
      </w:divsChild>
    </w:div>
    <w:div w:id="179511288">
      <w:bodyDiv w:val="1"/>
      <w:marLeft w:val="0"/>
      <w:marRight w:val="0"/>
      <w:marTop w:val="0"/>
      <w:marBottom w:val="0"/>
      <w:divBdr>
        <w:top w:val="none" w:sz="0" w:space="0" w:color="auto"/>
        <w:left w:val="none" w:sz="0" w:space="0" w:color="auto"/>
        <w:bottom w:val="none" w:sz="0" w:space="0" w:color="auto"/>
        <w:right w:val="none" w:sz="0" w:space="0" w:color="auto"/>
      </w:divBdr>
    </w:div>
    <w:div w:id="180777614">
      <w:bodyDiv w:val="1"/>
      <w:marLeft w:val="0"/>
      <w:marRight w:val="0"/>
      <w:marTop w:val="0"/>
      <w:marBottom w:val="0"/>
      <w:divBdr>
        <w:top w:val="none" w:sz="0" w:space="0" w:color="auto"/>
        <w:left w:val="none" w:sz="0" w:space="0" w:color="auto"/>
        <w:bottom w:val="none" w:sz="0" w:space="0" w:color="auto"/>
        <w:right w:val="none" w:sz="0" w:space="0" w:color="auto"/>
      </w:divBdr>
    </w:div>
    <w:div w:id="204603550">
      <w:bodyDiv w:val="1"/>
      <w:marLeft w:val="0"/>
      <w:marRight w:val="0"/>
      <w:marTop w:val="0"/>
      <w:marBottom w:val="0"/>
      <w:divBdr>
        <w:top w:val="none" w:sz="0" w:space="0" w:color="auto"/>
        <w:left w:val="none" w:sz="0" w:space="0" w:color="auto"/>
        <w:bottom w:val="none" w:sz="0" w:space="0" w:color="auto"/>
        <w:right w:val="none" w:sz="0" w:space="0" w:color="auto"/>
      </w:divBdr>
    </w:div>
    <w:div w:id="209609238">
      <w:bodyDiv w:val="1"/>
      <w:marLeft w:val="0"/>
      <w:marRight w:val="0"/>
      <w:marTop w:val="0"/>
      <w:marBottom w:val="0"/>
      <w:divBdr>
        <w:top w:val="none" w:sz="0" w:space="0" w:color="auto"/>
        <w:left w:val="none" w:sz="0" w:space="0" w:color="auto"/>
        <w:bottom w:val="none" w:sz="0" w:space="0" w:color="auto"/>
        <w:right w:val="none" w:sz="0" w:space="0" w:color="auto"/>
      </w:divBdr>
    </w:div>
    <w:div w:id="284770801">
      <w:bodyDiv w:val="1"/>
      <w:marLeft w:val="0"/>
      <w:marRight w:val="0"/>
      <w:marTop w:val="0"/>
      <w:marBottom w:val="0"/>
      <w:divBdr>
        <w:top w:val="none" w:sz="0" w:space="0" w:color="auto"/>
        <w:left w:val="none" w:sz="0" w:space="0" w:color="auto"/>
        <w:bottom w:val="none" w:sz="0" w:space="0" w:color="auto"/>
        <w:right w:val="none" w:sz="0" w:space="0" w:color="auto"/>
      </w:divBdr>
    </w:div>
    <w:div w:id="313606510">
      <w:bodyDiv w:val="1"/>
      <w:marLeft w:val="0"/>
      <w:marRight w:val="0"/>
      <w:marTop w:val="0"/>
      <w:marBottom w:val="0"/>
      <w:divBdr>
        <w:top w:val="none" w:sz="0" w:space="0" w:color="auto"/>
        <w:left w:val="none" w:sz="0" w:space="0" w:color="auto"/>
        <w:bottom w:val="none" w:sz="0" w:space="0" w:color="auto"/>
        <w:right w:val="none" w:sz="0" w:space="0" w:color="auto"/>
      </w:divBdr>
    </w:div>
    <w:div w:id="432092078">
      <w:bodyDiv w:val="1"/>
      <w:marLeft w:val="0"/>
      <w:marRight w:val="0"/>
      <w:marTop w:val="0"/>
      <w:marBottom w:val="0"/>
      <w:divBdr>
        <w:top w:val="none" w:sz="0" w:space="0" w:color="auto"/>
        <w:left w:val="none" w:sz="0" w:space="0" w:color="auto"/>
        <w:bottom w:val="none" w:sz="0" w:space="0" w:color="auto"/>
        <w:right w:val="none" w:sz="0" w:space="0" w:color="auto"/>
      </w:divBdr>
    </w:div>
    <w:div w:id="433594752">
      <w:bodyDiv w:val="1"/>
      <w:marLeft w:val="0"/>
      <w:marRight w:val="0"/>
      <w:marTop w:val="0"/>
      <w:marBottom w:val="0"/>
      <w:divBdr>
        <w:top w:val="none" w:sz="0" w:space="0" w:color="auto"/>
        <w:left w:val="none" w:sz="0" w:space="0" w:color="auto"/>
        <w:bottom w:val="none" w:sz="0" w:space="0" w:color="auto"/>
        <w:right w:val="none" w:sz="0" w:space="0" w:color="auto"/>
      </w:divBdr>
    </w:div>
    <w:div w:id="535118537">
      <w:bodyDiv w:val="1"/>
      <w:marLeft w:val="0"/>
      <w:marRight w:val="0"/>
      <w:marTop w:val="0"/>
      <w:marBottom w:val="0"/>
      <w:divBdr>
        <w:top w:val="none" w:sz="0" w:space="0" w:color="auto"/>
        <w:left w:val="none" w:sz="0" w:space="0" w:color="auto"/>
        <w:bottom w:val="none" w:sz="0" w:space="0" w:color="auto"/>
        <w:right w:val="none" w:sz="0" w:space="0" w:color="auto"/>
      </w:divBdr>
    </w:div>
    <w:div w:id="598754530">
      <w:bodyDiv w:val="1"/>
      <w:marLeft w:val="0"/>
      <w:marRight w:val="0"/>
      <w:marTop w:val="0"/>
      <w:marBottom w:val="0"/>
      <w:divBdr>
        <w:top w:val="none" w:sz="0" w:space="0" w:color="auto"/>
        <w:left w:val="none" w:sz="0" w:space="0" w:color="auto"/>
        <w:bottom w:val="none" w:sz="0" w:space="0" w:color="auto"/>
        <w:right w:val="none" w:sz="0" w:space="0" w:color="auto"/>
      </w:divBdr>
    </w:div>
    <w:div w:id="612440082">
      <w:bodyDiv w:val="1"/>
      <w:marLeft w:val="0"/>
      <w:marRight w:val="0"/>
      <w:marTop w:val="0"/>
      <w:marBottom w:val="0"/>
      <w:divBdr>
        <w:top w:val="none" w:sz="0" w:space="0" w:color="auto"/>
        <w:left w:val="none" w:sz="0" w:space="0" w:color="auto"/>
        <w:bottom w:val="none" w:sz="0" w:space="0" w:color="auto"/>
        <w:right w:val="none" w:sz="0" w:space="0" w:color="auto"/>
      </w:divBdr>
    </w:div>
    <w:div w:id="647973944">
      <w:bodyDiv w:val="1"/>
      <w:marLeft w:val="0"/>
      <w:marRight w:val="0"/>
      <w:marTop w:val="0"/>
      <w:marBottom w:val="0"/>
      <w:divBdr>
        <w:top w:val="none" w:sz="0" w:space="0" w:color="auto"/>
        <w:left w:val="none" w:sz="0" w:space="0" w:color="auto"/>
        <w:bottom w:val="none" w:sz="0" w:space="0" w:color="auto"/>
        <w:right w:val="none" w:sz="0" w:space="0" w:color="auto"/>
      </w:divBdr>
    </w:div>
    <w:div w:id="661857937">
      <w:bodyDiv w:val="1"/>
      <w:marLeft w:val="0"/>
      <w:marRight w:val="0"/>
      <w:marTop w:val="0"/>
      <w:marBottom w:val="0"/>
      <w:divBdr>
        <w:top w:val="none" w:sz="0" w:space="0" w:color="auto"/>
        <w:left w:val="none" w:sz="0" w:space="0" w:color="auto"/>
        <w:bottom w:val="none" w:sz="0" w:space="0" w:color="auto"/>
        <w:right w:val="none" w:sz="0" w:space="0" w:color="auto"/>
      </w:divBdr>
    </w:div>
    <w:div w:id="667561573">
      <w:bodyDiv w:val="1"/>
      <w:marLeft w:val="0"/>
      <w:marRight w:val="0"/>
      <w:marTop w:val="0"/>
      <w:marBottom w:val="0"/>
      <w:divBdr>
        <w:top w:val="none" w:sz="0" w:space="0" w:color="auto"/>
        <w:left w:val="none" w:sz="0" w:space="0" w:color="auto"/>
        <w:bottom w:val="none" w:sz="0" w:space="0" w:color="auto"/>
        <w:right w:val="none" w:sz="0" w:space="0" w:color="auto"/>
      </w:divBdr>
    </w:div>
    <w:div w:id="701051298">
      <w:bodyDiv w:val="1"/>
      <w:marLeft w:val="0"/>
      <w:marRight w:val="0"/>
      <w:marTop w:val="0"/>
      <w:marBottom w:val="0"/>
      <w:divBdr>
        <w:top w:val="none" w:sz="0" w:space="0" w:color="auto"/>
        <w:left w:val="none" w:sz="0" w:space="0" w:color="auto"/>
        <w:bottom w:val="none" w:sz="0" w:space="0" w:color="auto"/>
        <w:right w:val="none" w:sz="0" w:space="0" w:color="auto"/>
      </w:divBdr>
      <w:divsChild>
        <w:div w:id="734012845">
          <w:marLeft w:val="1166"/>
          <w:marRight w:val="0"/>
          <w:marTop w:val="96"/>
          <w:marBottom w:val="0"/>
          <w:divBdr>
            <w:top w:val="none" w:sz="0" w:space="0" w:color="auto"/>
            <w:left w:val="none" w:sz="0" w:space="0" w:color="auto"/>
            <w:bottom w:val="none" w:sz="0" w:space="0" w:color="auto"/>
            <w:right w:val="none" w:sz="0" w:space="0" w:color="auto"/>
          </w:divBdr>
        </w:div>
        <w:div w:id="742028679">
          <w:marLeft w:val="547"/>
          <w:marRight w:val="0"/>
          <w:marTop w:val="96"/>
          <w:marBottom w:val="0"/>
          <w:divBdr>
            <w:top w:val="none" w:sz="0" w:space="0" w:color="auto"/>
            <w:left w:val="none" w:sz="0" w:space="0" w:color="auto"/>
            <w:bottom w:val="none" w:sz="0" w:space="0" w:color="auto"/>
            <w:right w:val="none" w:sz="0" w:space="0" w:color="auto"/>
          </w:divBdr>
        </w:div>
        <w:div w:id="939217091">
          <w:marLeft w:val="1166"/>
          <w:marRight w:val="0"/>
          <w:marTop w:val="96"/>
          <w:marBottom w:val="0"/>
          <w:divBdr>
            <w:top w:val="none" w:sz="0" w:space="0" w:color="auto"/>
            <w:left w:val="none" w:sz="0" w:space="0" w:color="auto"/>
            <w:bottom w:val="none" w:sz="0" w:space="0" w:color="auto"/>
            <w:right w:val="none" w:sz="0" w:space="0" w:color="auto"/>
          </w:divBdr>
        </w:div>
        <w:div w:id="1003512827">
          <w:marLeft w:val="1166"/>
          <w:marRight w:val="0"/>
          <w:marTop w:val="96"/>
          <w:marBottom w:val="0"/>
          <w:divBdr>
            <w:top w:val="none" w:sz="0" w:space="0" w:color="auto"/>
            <w:left w:val="none" w:sz="0" w:space="0" w:color="auto"/>
            <w:bottom w:val="none" w:sz="0" w:space="0" w:color="auto"/>
            <w:right w:val="none" w:sz="0" w:space="0" w:color="auto"/>
          </w:divBdr>
        </w:div>
        <w:div w:id="1289431628">
          <w:marLeft w:val="1166"/>
          <w:marRight w:val="0"/>
          <w:marTop w:val="96"/>
          <w:marBottom w:val="0"/>
          <w:divBdr>
            <w:top w:val="none" w:sz="0" w:space="0" w:color="auto"/>
            <w:left w:val="none" w:sz="0" w:space="0" w:color="auto"/>
            <w:bottom w:val="none" w:sz="0" w:space="0" w:color="auto"/>
            <w:right w:val="none" w:sz="0" w:space="0" w:color="auto"/>
          </w:divBdr>
        </w:div>
        <w:div w:id="1404908172">
          <w:marLeft w:val="547"/>
          <w:marRight w:val="0"/>
          <w:marTop w:val="96"/>
          <w:marBottom w:val="0"/>
          <w:divBdr>
            <w:top w:val="none" w:sz="0" w:space="0" w:color="auto"/>
            <w:left w:val="none" w:sz="0" w:space="0" w:color="auto"/>
            <w:bottom w:val="none" w:sz="0" w:space="0" w:color="auto"/>
            <w:right w:val="none" w:sz="0" w:space="0" w:color="auto"/>
          </w:divBdr>
        </w:div>
        <w:div w:id="1560633891">
          <w:marLeft w:val="547"/>
          <w:marRight w:val="0"/>
          <w:marTop w:val="96"/>
          <w:marBottom w:val="0"/>
          <w:divBdr>
            <w:top w:val="none" w:sz="0" w:space="0" w:color="auto"/>
            <w:left w:val="none" w:sz="0" w:space="0" w:color="auto"/>
            <w:bottom w:val="none" w:sz="0" w:space="0" w:color="auto"/>
            <w:right w:val="none" w:sz="0" w:space="0" w:color="auto"/>
          </w:divBdr>
        </w:div>
        <w:div w:id="1597205000">
          <w:marLeft w:val="1166"/>
          <w:marRight w:val="0"/>
          <w:marTop w:val="96"/>
          <w:marBottom w:val="0"/>
          <w:divBdr>
            <w:top w:val="none" w:sz="0" w:space="0" w:color="auto"/>
            <w:left w:val="none" w:sz="0" w:space="0" w:color="auto"/>
            <w:bottom w:val="none" w:sz="0" w:space="0" w:color="auto"/>
            <w:right w:val="none" w:sz="0" w:space="0" w:color="auto"/>
          </w:divBdr>
        </w:div>
        <w:div w:id="1601142530">
          <w:marLeft w:val="1166"/>
          <w:marRight w:val="0"/>
          <w:marTop w:val="96"/>
          <w:marBottom w:val="0"/>
          <w:divBdr>
            <w:top w:val="none" w:sz="0" w:space="0" w:color="auto"/>
            <w:left w:val="none" w:sz="0" w:space="0" w:color="auto"/>
            <w:bottom w:val="none" w:sz="0" w:space="0" w:color="auto"/>
            <w:right w:val="none" w:sz="0" w:space="0" w:color="auto"/>
          </w:divBdr>
        </w:div>
        <w:div w:id="1761565547">
          <w:marLeft w:val="547"/>
          <w:marRight w:val="0"/>
          <w:marTop w:val="96"/>
          <w:marBottom w:val="0"/>
          <w:divBdr>
            <w:top w:val="none" w:sz="0" w:space="0" w:color="auto"/>
            <w:left w:val="none" w:sz="0" w:space="0" w:color="auto"/>
            <w:bottom w:val="none" w:sz="0" w:space="0" w:color="auto"/>
            <w:right w:val="none" w:sz="0" w:space="0" w:color="auto"/>
          </w:divBdr>
        </w:div>
        <w:div w:id="1838570909">
          <w:marLeft w:val="1166"/>
          <w:marRight w:val="0"/>
          <w:marTop w:val="96"/>
          <w:marBottom w:val="0"/>
          <w:divBdr>
            <w:top w:val="none" w:sz="0" w:space="0" w:color="auto"/>
            <w:left w:val="none" w:sz="0" w:space="0" w:color="auto"/>
            <w:bottom w:val="none" w:sz="0" w:space="0" w:color="auto"/>
            <w:right w:val="none" w:sz="0" w:space="0" w:color="auto"/>
          </w:divBdr>
        </w:div>
        <w:div w:id="1917746139">
          <w:marLeft w:val="1166"/>
          <w:marRight w:val="0"/>
          <w:marTop w:val="96"/>
          <w:marBottom w:val="0"/>
          <w:divBdr>
            <w:top w:val="none" w:sz="0" w:space="0" w:color="auto"/>
            <w:left w:val="none" w:sz="0" w:space="0" w:color="auto"/>
            <w:bottom w:val="none" w:sz="0" w:space="0" w:color="auto"/>
            <w:right w:val="none" w:sz="0" w:space="0" w:color="auto"/>
          </w:divBdr>
        </w:div>
      </w:divsChild>
    </w:div>
    <w:div w:id="708259187">
      <w:bodyDiv w:val="1"/>
      <w:marLeft w:val="0"/>
      <w:marRight w:val="0"/>
      <w:marTop w:val="0"/>
      <w:marBottom w:val="0"/>
      <w:divBdr>
        <w:top w:val="none" w:sz="0" w:space="0" w:color="auto"/>
        <w:left w:val="none" w:sz="0" w:space="0" w:color="auto"/>
        <w:bottom w:val="none" w:sz="0" w:space="0" w:color="auto"/>
        <w:right w:val="none" w:sz="0" w:space="0" w:color="auto"/>
      </w:divBdr>
      <w:divsChild>
        <w:div w:id="1527208964">
          <w:marLeft w:val="0"/>
          <w:marRight w:val="0"/>
          <w:marTop w:val="0"/>
          <w:marBottom w:val="0"/>
          <w:divBdr>
            <w:top w:val="none" w:sz="0" w:space="0" w:color="auto"/>
            <w:left w:val="none" w:sz="0" w:space="0" w:color="auto"/>
            <w:bottom w:val="none" w:sz="0" w:space="0" w:color="auto"/>
            <w:right w:val="none" w:sz="0" w:space="0" w:color="auto"/>
          </w:divBdr>
        </w:div>
        <w:div w:id="432483764">
          <w:marLeft w:val="0"/>
          <w:marRight w:val="0"/>
          <w:marTop w:val="0"/>
          <w:marBottom w:val="0"/>
          <w:divBdr>
            <w:top w:val="none" w:sz="0" w:space="0" w:color="auto"/>
            <w:left w:val="none" w:sz="0" w:space="0" w:color="auto"/>
            <w:bottom w:val="none" w:sz="0" w:space="0" w:color="auto"/>
            <w:right w:val="none" w:sz="0" w:space="0" w:color="auto"/>
          </w:divBdr>
        </w:div>
        <w:div w:id="1643658954">
          <w:marLeft w:val="0"/>
          <w:marRight w:val="0"/>
          <w:marTop w:val="0"/>
          <w:marBottom w:val="0"/>
          <w:divBdr>
            <w:top w:val="none" w:sz="0" w:space="0" w:color="auto"/>
            <w:left w:val="none" w:sz="0" w:space="0" w:color="auto"/>
            <w:bottom w:val="none" w:sz="0" w:space="0" w:color="auto"/>
            <w:right w:val="none" w:sz="0" w:space="0" w:color="auto"/>
          </w:divBdr>
        </w:div>
        <w:div w:id="1562525124">
          <w:marLeft w:val="0"/>
          <w:marRight w:val="0"/>
          <w:marTop w:val="0"/>
          <w:marBottom w:val="0"/>
          <w:divBdr>
            <w:top w:val="none" w:sz="0" w:space="0" w:color="auto"/>
            <w:left w:val="none" w:sz="0" w:space="0" w:color="auto"/>
            <w:bottom w:val="none" w:sz="0" w:space="0" w:color="auto"/>
            <w:right w:val="none" w:sz="0" w:space="0" w:color="auto"/>
          </w:divBdr>
        </w:div>
        <w:div w:id="361055064">
          <w:marLeft w:val="0"/>
          <w:marRight w:val="0"/>
          <w:marTop w:val="0"/>
          <w:marBottom w:val="0"/>
          <w:divBdr>
            <w:top w:val="none" w:sz="0" w:space="0" w:color="auto"/>
            <w:left w:val="none" w:sz="0" w:space="0" w:color="auto"/>
            <w:bottom w:val="none" w:sz="0" w:space="0" w:color="auto"/>
            <w:right w:val="none" w:sz="0" w:space="0" w:color="auto"/>
          </w:divBdr>
        </w:div>
      </w:divsChild>
    </w:div>
    <w:div w:id="738671606">
      <w:bodyDiv w:val="1"/>
      <w:marLeft w:val="0"/>
      <w:marRight w:val="0"/>
      <w:marTop w:val="0"/>
      <w:marBottom w:val="0"/>
      <w:divBdr>
        <w:top w:val="none" w:sz="0" w:space="0" w:color="auto"/>
        <w:left w:val="none" w:sz="0" w:space="0" w:color="auto"/>
        <w:bottom w:val="none" w:sz="0" w:space="0" w:color="auto"/>
        <w:right w:val="none" w:sz="0" w:space="0" w:color="auto"/>
      </w:divBdr>
    </w:div>
    <w:div w:id="789395581">
      <w:bodyDiv w:val="1"/>
      <w:marLeft w:val="0"/>
      <w:marRight w:val="0"/>
      <w:marTop w:val="0"/>
      <w:marBottom w:val="0"/>
      <w:divBdr>
        <w:top w:val="none" w:sz="0" w:space="0" w:color="auto"/>
        <w:left w:val="none" w:sz="0" w:space="0" w:color="auto"/>
        <w:bottom w:val="none" w:sz="0" w:space="0" w:color="auto"/>
        <w:right w:val="none" w:sz="0" w:space="0" w:color="auto"/>
      </w:divBdr>
    </w:div>
    <w:div w:id="795483879">
      <w:bodyDiv w:val="1"/>
      <w:marLeft w:val="0"/>
      <w:marRight w:val="0"/>
      <w:marTop w:val="0"/>
      <w:marBottom w:val="0"/>
      <w:divBdr>
        <w:top w:val="none" w:sz="0" w:space="0" w:color="auto"/>
        <w:left w:val="none" w:sz="0" w:space="0" w:color="auto"/>
        <w:bottom w:val="none" w:sz="0" w:space="0" w:color="auto"/>
        <w:right w:val="none" w:sz="0" w:space="0" w:color="auto"/>
      </w:divBdr>
    </w:div>
    <w:div w:id="935744975">
      <w:bodyDiv w:val="1"/>
      <w:marLeft w:val="0"/>
      <w:marRight w:val="0"/>
      <w:marTop w:val="0"/>
      <w:marBottom w:val="0"/>
      <w:divBdr>
        <w:top w:val="none" w:sz="0" w:space="0" w:color="auto"/>
        <w:left w:val="none" w:sz="0" w:space="0" w:color="auto"/>
        <w:bottom w:val="none" w:sz="0" w:space="0" w:color="auto"/>
        <w:right w:val="none" w:sz="0" w:space="0" w:color="auto"/>
      </w:divBdr>
    </w:div>
    <w:div w:id="940332460">
      <w:bodyDiv w:val="1"/>
      <w:marLeft w:val="0"/>
      <w:marRight w:val="0"/>
      <w:marTop w:val="0"/>
      <w:marBottom w:val="0"/>
      <w:divBdr>
        <w:top w:val="none" w:sz="0" w:space="0" w:color="auto"/>
        <w:left w:val="none" w:sz="0" w:space="0" w:color="auto"/>
        <w:bottom w:val="none" w:sz="0" w:space="0" w:color="auto"/>
        <w:right w:val="none" w:sz="0" w:space="0" w:color="auto"/>
      </w:divBdr>
    </w:div>
    <w:div w:id="973827270">
      <w:bodyDiv w:val="1"/>
      <w:marLeft w:val="0"/>
      <w:marRight w:val="0"/>
      <w:marTop w:val="0"/>
      <w:marBottom w:val="0"/>
      <w:divBdr>
        <w:top w:val="none" w:sz="0" w:space="0" w:color="auto"/>
        <w:left w:val="none" w:sz="0" w:space="0" w:color="auto"/>
        <w:bottom w:val="none" w:sz="0" w:space="0" w:color="auto"/>
        <w:right w:val="none" w:sz="0" w:space="0" w:color="auto"/>
      </w:divBdr>
      <w:divsChild>
        <w:div w:id="627668291">
          <w:marLeft w:val="0"/>
          <w:marRight w:val="0"/>
          <w:marTop w:val="0"/>
          <w:marBottom w:val="0"/>
          <w:divBdr>
            <w:top w:val="none" w:sz="0" w:space="0" w:color="auto"/>
            <w:left w:val="none" w:sz="0" w:space="0" w:color="auto"/>
            <w:bottom w:val="none" w:sz="0" w:space="0" w:color="auto"/>
            <w:right w:val="none" w:sz="0" w:space="0" w:color="auto"/>
          </w:divBdr>
          <w:divsChild>
            <w:div w:id="526063392">
              <w:marLeft w:val="0"/>
              <w:marRight w:val="0"/>
              <w:marTop w:val="0"/>
              <w:marBottom w:val="0"/>
              <w:divBdr>
                <w:top w:val="none" w:sz="0" w:space="0" w:color="auto"/>
                <w:left w:val="none" w:sz="0" w:space="0" w:color="auto"/>
                <w:bottom w:val="none" w:sz="0" w:space="0" w:color="auto"/>
                <w:right w:val="none" w:sz="0" w:space="0" w:color="auto"/>
              </w:divBdr>
              <w:divsChild>
                <w:div w:id="812480908">
                  <w:marLeft w:val="0"/>
                  <w:marRight w:val="0"/>
                  <w:marTop w:val="0"/>
                  <w:marBottom w:val="0"/>
                  <w:divBdr>
                    <w:top w:val="none" w:sz="0" w:space="0" w:color="auto"/>
                    <w:left w:val="none" w:sz="0" w:space="0" w:color="auto"/>
                    <w:bottom w:val="none" w:sz="0" w:space="0" w:color="auto"/>
                    <w:right w:val="none" w:sz="0" w:space="0" w:color="auto"/>
                  </w:divBdr>
                  <w:divsChild>
                    <w:div w:id="2018189959">
                      <w:marLeft w:val="0"/>
                      <w:marRight w:val="0"/>
                      <w:marTop w:val="0"/>
                      <w:marBottom w:val="0"/>
                      <w:divBdr>
                        <w:top w:val="none" w:sz="0" w:space="0" w:color="auto"/>
                        <w:left w:val="none" w:sz="0" w:space="0" w:color="auto"/>
                        <w:bottom w:val="none" w:sz="0" w:space="0" w:color="auto"/>
                        <w:right w:val="none" w:sz="0" w:space="0" w:color="auto"/>
                      </w:divBdr>
                      <w:divsChild>
                        <w:div w:id="1255674551">
                          <w:marLeft w:val="0"/>
                          <w:marRight w:val="0"/>
                          <w:marTop w:val="0"/>
                          <w:marBottom w:val="0"/>
                          <w:divBdr>
                            <w:top w:val="none" w:sz="0" w:space="0" w:color="auto"/>
                            <w:left w:val="none" w:sz="0" w:space="0" w:color="auto"/>
                            <w:bottom w:val="none" w:sz="0" w:space="0" w:color="auto"/>
                            <w:right w:val="none" w:sz="0" w:space="0" w:color="auto"/>
                          </w:divBdr>
                          <w:divsChild>
                            <w:div w:id="211524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2075720">
      <w:bodyDiv w:val="1"/>
      <w:marLeft w:val="0"/>
      <w:marRight w:val="0"/>
      <w:marTop w:val="0"/>
      <w:marBottom w:val="0"/>
      <w:divBdr>
        <w:top w:val="none" w:sz="0" w:space="0" w:color="auto"/>
        <w:left w:val="none" w:sz="0" w:space="0" w:color="auto"/>
        <w:bottom w:val="none" w:sz="0" w:space="0" w:color="auto"/>
        <w:right w:val="none" w:sz="0" w:space="0" w:color="auto"/>
      </w:divBdr>
    </w:div>
    <w:div w:id="1003781077">
      <w:bodyDiv w:val="1"/>
      <w:marLeft w:val="0"/>
      <w:marRight w:val="0"/>
      <w:marTop w:val="0"/>
      <w:marBottom w:val="0"/>
      <w:divBdr>
        <w:top w:val="none" w:sz="0" w:space="0" w:color="auto"/>
        <w:left w:val="none" w:sz="0" w:space="0" w:color="auto"/>
        <w:bottom w:val="none" w:sz="0" w:space="0" w:color="auto"/>
        <w:right w:val="none" w:sz="0" w:space="0" w:color="auto"/>
      </w:divBdr>
    </w:div>
    <w:div w:id="1059093228">
      <w:bodyDiv w:val="1"/>
      <w:marLeft w:val="0"/>
      <w:marRight w:val="0"/>
      <w:marTop w:val="0"/>
      <w:marBottom w:val="0"/>
      <w:divBdr>
        <w:top w:val="none" w:sz="0" w:space="0" w:color="auto"/>
        <w:left w:val="none" w:sz="0" w:space="0" w:color="auto"/>
        <w:bottom w:val="none" w:sz="0" w:space="0" w:color="auto"/>
        <w:right w:val="none" w:sz="0" w:space="0" w:color="auto"/>
      </w:divBdr>
    </w:div>
    <w:div w:id="1090155791">
      <w:bodyDiv w:val="1"/>
      <w:marLeft w:val="0"/>
      <w:marRight w:val="0"/>
      <w:marTop w:val="0"/>
      <w:marBottom w:val="0"/>
      <w:divBdr>
        <w:top w:val="none" w:sz="0" w:space="0" w:color="auto"/>
        <w:left w:val="none" w:sz="0" w:space="0" w:color="auto"/>
        <w:bottom w:val="none" w:sz="0" w:space="0" w:color="auto"/>
        <w:right w:val="none" w:sz="0" w:space="0" w:color="auto"/>
      </w:divBdr>
    </w:div>
    <w:div w:id="1113480440">
      <w:bodyDiv w:val="1"/>
      <w:marLeft w:val="0"/>
      <w:marRight w:val="0"/>
      <w:marTop w:val="0"/>
      <w:marBottom w:val="0"/>
      <w:divBdr>
        <w:top w:val="none" w:sz="0" w:space="0" w:color="auto"/>
        <w:left w:val="none" w:sz="0" w:space="0" w:color="auto"/>
        <w:bottom w:val="none" w:sz="0" w:space="0" w:color="auto"/>
        <w:right w:val="none" w:sz="0" w:space="0" w:color="auto"/>
      </w:divBdr>
    </w:div>
    <w:div w:id="1124234232">
      <w:bodyDiv w:val="1"/>
      <w:marLeft w:val="0"/>
      <w:marRight w:val="0"/>
      <w:marTop w:val="0"/>
      <w:marBottom w:val="0"/>
      <w:divBdr>
        <w:top w:val="none" w:sz="0" w:space="0" w:color="auto"/>
        <w:left w:val="none" w:sz="0" w:space="0" w:color="auto"/>
        <w:bottom w:val="none" w:sz="0" w:space="0" w:color="auto"/>
        <w:right w:val="none" w:sz="0" w:space="0" w:color="auto"/>
      </w:divBdr>
    </w:div>
    <w:div w:id="1139616464">
      <w:bodyDiv w:val="1"/>
      <w:marLeft w:val="0"/>
      <w:marRight w:val="0"/>
      <w:marTop w:val="0"/>
      <w:marBottom w:val="0"/>
      <w:divBdr>
        <w:top w:val="none" w:sz="0" w:space="0" w:color="auto"/>
        <w:left w:val="none" w:sz="0" w:space="0" w:color="auto"/>
        <w:bottom w:val="none" w:sz="0" w:space="0" w:color="auto"/>
        <w:right w:val="none" w:sz="0" w:space="0" w:color="auto"/>
      </w:divBdr>
    </w:div>
    <w:div w:id="1197619307">
      <w:bodyDiv w:val="1"/>
      <w:marLeft w:val="0"/>
      <w:marRight w:val="0"/>
      <w:marTop w:val="0"/>
      <w:marBottom w:val="0"/>
      <w:divBdr>
        <w:top w:val="none" w:sz="0" w:space="0" w:color="auto"/>
        <w:left w:val="none" w:sz="0" w:space="0" w:color="auto"/>
        <w:bottom w:val="none" w:sz="0" w:space="0" w:color="auto"/>
        <w:right w:val="none" w:sz="0" w:space="0" w:color="auto"/>
      </w:divBdr>
    </w:div>
    <w:div w:id="1321039110">
      <w:bodyDiv w:val="1"/>
      <w:marLeft w:val="0"/>
      <w:marRight w:val="0"/>
      <w:marTop w:val="0"/>
      <w:marBottom w:val="0"/>
      <w:divBdr>
        <w:top w:val="none" w:sz="0" w:space="0" w:color="auto"/>
        <w:left w:val="none" w:sz="0" w:space="0" w:color="auto"/>
        <w:bottom w:val="none" w:sz="0" w:space="0" w:color="auto"/>
        <w:right w:val="none" w:sz="0" w:space="0" w:color="auto"/>
      </w:divBdr>
    </w:div>
    <w:div w:id="1357316413">
      <w:bodyDiv w:val="1"/>
      <w:marLeft w:val="0"/>
      <w:marRight w:val="0"/>
      <w:marTop w:val="0"/>
      <w:marBottom w:val="0"/>
      <w:divBdr>
        <w:top w:val="none" w:sz="0" w:space="0" w:color="auto"/>
        <w:left w:val="none" w:sz="0" w:space="0" w:color="auto"/>
        <w:bottom w:val="none" w:sz="0" w:space="0" w:color="auto"/>
        <w:right w:val="none" w:sz="0" w:space="0" w:color="auto"/>
      </w:divBdr>
    </w:div>
    <w:div w:id="1422875675">
      <w:bodyDiv w:val="1"/>
      <w:marLeft w:val="0"/>
      <w:marRight w:val="0"/>
      <w:marTop w:val="0"/>
      <w:marBottom w:val="0"/>
      <w:divBdr>
        <w:top w:val="none" w:sz="0" w:space="0" w:color="auto"/>
        <w:left w:val="none" w:sz="0" w:space="0" w:color="auto"/>
        <w:bottom w:val="none" w:sz="0" w:space="0" w:color="auto"/>
        <w:right w:val="none" w:sz="0" w:space="0" w:color="auto"/>
      </w:divBdr>
    </w:div>
    <w:div w:id="1455902278">
      <w:bodyDiv w:val="1"/>
      <w:marLeft w:val="0"/>
      <w:marRight w:val="0"/>
      <w:marTop w:val="0"/>
      <w:marBottom w:val="0"/>
      <w:divBdr>
        <w:top w:val="none" w:sz="0" w:space="0" w:color="auto"/>
        <w:left w:val="none" w:sz="0" w:space="0" w:color="auto"/>
        <w:bottom w:val="none" w:sz="0" w:space="0" w:color="auto"/>
        <w:right w:val="none" w:sz="0" w:space="0" w:color="auto"/>
      </w:divBdr>
      <w:divsChild>
        <w:div w:id="1572931390">
          <w:marLeft w:val="720"/>
          <w:marRight w:val="0"/>
          <w:marTop w:val="0"/>
          <w:marBottom w:val="0"/>
          <w:divBdr>
            <w:top w:val="none" w:sz="0" w:space="0" w:color="auto"/>
            <w:left w:val="none" w:sz="0" w:space="0" w:color="auto"/>
            <w:bottom w:val="none" w:sz="0" w:space="0" w:color="auto"/>
            <w:right w:val="none" w:sz="0" w:space="0" w:color="auto"/>
          </w:divBdr>
        </w:div>
        <w:div w:id="1619213155">
          <w:marLeft w:val="720"/>
          <w:marRight w:val="0"/>
          <w:marTop w:val="0"/>
          <w:marBottom w:val="0"/>
          <w:divBdr>
            <w:top w:val="none" w:sz="0" w:space="0" w:color="auto"/>
            <w:left w:val="none" w:sz="0" w:space="0" w:color="auto"/>
            <w:bottom w:val="none" w:sz="0" w:space="0" w:color="auto"/>
            <w:right w:val="none" w:sz="0" w:space="0" w:color="auto"/>
          </w:divBdr>
        </w:div>
        <w:div w:id="1705665659">
          <w:marLeft w:val="720"/>
          <w:marRight w:val="0"/>
          <w:marTop w:val="0"/>
          <w:marBottom w:val="0"/>
          <w:divBdr>
            <w:top w:val="none" w:sz="0" w:space="0" w:color="auto"/>
            <w:left w:val="none" w:sz="0" w:space="0" w:color="auto"/>
            <w:bottom w:val="none" w:sz="0" w:space="0" w:color="auto"/>
            <w:right w:val="none" w:sz="0" w:space="0" w:color="auto"/>
          </w:divBdr>
        </w:div>
        <w:div w:id="1899592111">
          <w:marLeft w:val="720"/>
          <w:marRight w:val="0"/>
          <w:marTop w:val="0"/>
          <w:marBottom w:val="0"/>
          <w:divBdr>
            <w:top w:val="none" w:sz="0" w:space="0" w:color="auto"/>
            <w:left w:val="none" w:sz="0" w:space="0" w:color="auto"/>
            <w:bottom w:val="none" w:sz="0" w:space="0" w:color="auto"/>
            <w:right w:val="none" w:sz="0" w:space="0" w:color="auto"/>
          </w:divBdr>
        </w:div>
      </w:divsChild>
    </w:div>
    <w:div w:id="1477333498">
      <w:bodyDiv w:val="1"/>
      <w:marLeft w:val="0"/>
      <w:marRight w:val="0"/>
      <w:marTop w:val="0"/>
      <w:marBottom w:val="0"/>
      <w:divBdr>
        <w:top w:val="none" w:sz="0" w:space="0" w:color="auto"/>
        <w:left w:val="none" w:sz="0" w:space="0" w:color="auto"/>
        <w:bottom w:val="none" w:sz="0" w:space="0" w:color="auto"/>
        <w:right w:val="none" w:sz="0" w:space="0" w:color="auto"/>
      </w:divBdr>
    </w:div>
    <w:div w:id="1496146343">
      <w:bodyDiv w:val="1"/>
      <w:marLeft w:val="0"/>
      <w:marRight w:val="0"/>
      <w:marTop w:val="0"/>
      <w:marBottom w:val="0"/>
      <w:divBdr>
        <w:top w:val="none" w:sz="0" w:space="0" w:color="auto"/>
        <w:left w:val="none" w:sz="0" w:space="0" w:color="auto"/>
        <w:bottom w:val="none" w:sz="0" w:space="0" w:color="auto"/>
        <w:right w:val="none" w:sz="0" w:space="0" w:color="auto"/>
      </w:divBdr>
    </w:div>
    <w:div w:id="1557158738">
      <w:bodyDiv w:val="1"/>
      <w:marLeft w:val="0"/>
      <w:marRight w:val="0"/>
      <w:marTop w:val="0"/>
      <w:marBottom w:val="0"/>
      <w:divBdr>
        <w:top w:val="none" w:sz="0" w:space="0" w:color="auto"/>
        <w:left w:val="none" w:sz="0" w:space="0" w:color="auto"/>
        <w:bottom w:val="none" w:sz="0" w:space="0" w:color="auto"/>
        <w:right w:val="none" w:sz="0" w:space="0" w:color="auto"/>
      </w:divBdr>
    </w:div>
    <w:div w:id="1589999090">
      <w:bodyDiv w:val="1"/>
      <w:marLeft w:val="0"/>
      <w:marRight w:val="0"/>
      <w:marTop w:val="0"/>
      <w:marBottom w:val="0"/>
      <w:divBdr>
        <w:top w:val="none" w:sz="0" w:space="0" w:color="auto"/>
        <w:left w:val="none" w:sz="0" w:space="0" w:color="auto"/>
        <w:bottom w:val="none" w:sz="0" w:space="0" w:color="auto"/>
        <w:right w:val="none" w:sz="0" w:space="0" w:color="auto"/>
      </w:divBdr>
    </w:div>
    <w:div w:id="1613711008">
      <w:bodyDiv w:val="1"/>
      <w:marLeft w:val="0"/>
      <w:marRight w:val="0"/>
      <w:marTop w:val="0"/>
      <w:marBottom w:val="0"/>
      <w:divBdr>
        <w:top w:val="none" w:sz="0" w:space="0" w:color="auto"/>
        <w:left w:val="none" w:sz="0" w:space="0" w:color="auto"/>
        <w:bottom w:val="none" w:sz="0" w:space="0" w:color="auto"/>
        <w:right w:val="none" w:sz="0" w:space="0" w:color="auto"/>
      </w:divBdr>
    </w:div>
    <w:div w:id="1671828313">
      <w:bodyDiv w:val="1"/>
      <w:marLeft w:val="0"/>
      <w:marRight w:val="0"/>
      <w:marTop w:val="0"/>
      <w:marBottom w:val="0"/>
      <w:divBdr>
        <w:top w:val="none" w:sz="0" w:space="0" w:color="auto"/>
        <w:left w:val="none" w:sz="0" w:space="0" w:color="auto"/>
        <w:bottom w:val="none" w:sz="0" w:space="0" w:color="auto"/>
        <w:right w:val="none" w:sz="0" w:space="0" w:color="auto"/>
      </w:divBdr>
    </w:div>
    <w:div w:id="1672877459">
      <w:bodyDiv w:val="1"/>
      <w:marLeft w:val="0"/>
      <w:marRight w:val="0"/>
      <w:marTop w:val="0"/>
      <w:marBottom w:val="0"/>
      <w:divBdr>
        <w:top w:val="none" w:sz="0" w:space="0" w:color="auto"/>
        <w:left w:val="none" w:sz="0" w:space="0" w:color="auto"/>
        <w:bottom w:val="none" w:sz="0" w:space="0" w:color="auto"/>
        <w:right w:val="none" w:sz="0" w:space="0" w:color="auto"/>
      </w:divBdr>
    </w:div>
    <w:div w:id="1794788733">
      <w:bodyDiv w:val="1"/>
      <w:marLeft w:val="0"/>
      <w:marRight w:val="0"/>
      <w:marTop w:val="0"/>
      <w:marBottom w:val="0"/>
      <w:divBdr>
        <w:top w:val="none" w:sz="0" w:space="0" w:color="auto"/>
        <w:left w:val="none" w:sz="0" w:space="0" w:color="auto"/>
        <w:bottom w:val="none" w:sz="0" w:space="0" w:color="auto"/>
        <w:right w:val="none" w:sz="0" w:space="0" w:color="auto"/>
      </w:divBdr>
    </w:div>
    <w:div w:id="1821655241">
      <w:bodyDiv w:val="1"/>
      <w:marLeft w:val="0"/>
      <w:marRight w:val="0"/>
      <w:marTop w:val="0"/>
      <w:marBottom w:val="0"/>
      <w:divBdr>
        <w:top w:val="none" w:sz="0" w:space="0" w:color="auto"/>
        <w:left w:val="none" w:sz="0" w:space="0" w:color="auto"/>
        <w:bottom w:val="none" w:sz="0" w:space="0" w:color="auto"/>
        <w:right w:val="none" w:sz="0" w:space="0" w:color="auto"/>
      </w:divBdr>
    </w:div>
    <w:div w:id="1837190271">
      <w:bodyDiv w:val="1"/>
      <w:marLeft w:val="0"/>
      <w:marRight w:val="0"/>
      <w:marTop w:val="0"/>
      <w:marBottom w:val="0"/>
      <w:divBdr>
        <w:top w:val="none" w:sz="0" w:space="0" w:color="auto"/>
        <w:left w:val="none" w:sz="0" w:space="0" w:color="auto"/>
        <w:bottom w:val="none" w:sz="0" w:space="0" w:color="auto"/>
        <w:right w:val="none" w:sz="0" w:space="0" w:color="auto"/>
      </w:divBdr>
    </w:div>
    <w:div w:id="1840583976">
      <w:bodyDiv w:val="1"/>
      <w:marLeft w:val="0"/>
      <w:marRight w:val="0"/>
      <w:marTop w:val="0"/>
      <w:marBottom w:val="0"/>
      <w:divBdr>
        <w:top w:val="none" w:sz="0" w:space="0" w:color="auto"/>
        <w:left w:val="none" w:sz="0" w:space="0" w:color="auto"/>
        <w:bottom w:val="none" w:sz="0" w:space="0" w:color="auto"/>
        <w:right w:val="none" w:sz="0" w:space="0" w:color="auto"/>
      </w:divBdr>
    </w:div>
    <w:div w:id="1978028902">
      <w:marLeft w:val="0"/>
      <w:marRight w:val="0"/>
      <w:marTop w:val="0"/>
      <w:marBottom w:val="0"/>
      <w:divBdr>
        <w:top w:val="none" w:sz="0" w:space="0" w:color="auto"/>
        <w:left w:val="none" w:sz="0" w:space="0" w:color="auto"/>
        <w:bottom w:val="none" w:sz="0" w:space="0" w:color="auto"/>
        <w:right w:val="none" w:sz="0" w:space="0" w:color="auto"/>
      </w:divBdr>
    </w:div>
    <w:div w:id="2016882252">
      <w:bodyDiv w:val="1"/>
      <w:marLeft w:val="0"/>
      <w:marRight w:val="0"/>
      <w:marTop w:val="0"/>
      <w:marBottom w:val="0"/>
      <w:divBdr>
        <w:top w:val="none" w:sz="0" w:space="0" w:color="auto"/>
        <w:left w:val="none" w:sz="0" w:space="0" w:color="auto"/>
        <w:bottom w:val="none" w:sz="0" w:space="0" w:color="auto"/>
        <w:right w:val="none" w:sz="0" w:space="0" w:color="auto"/>
      </w:divBdr>
    </w:div>
    <w:div w:id="2045203208">
      <w:bodyDiv w:val="1"/>
      <w:marLeft w:val="0"/>
      <w:marRight w:val="0"/>
      <w:marTop w:val="0"/>
      <w:marBottom w:val="0"/>
      <w:divBdr>
        <w:top w:val="none" w:sz="0" w:space="0" w:color="auto"/>
        <w:left w:val="none" w:sz="0" w:space="0" w:color="auto"/>
        <w:bottom w:val="none" w:sz="0" w:space="0" w:color="auto"/>
        <w:right w:val="none" w:sz="0" w:space="0" w:color="auto"/>
      </w:divBdr>
    </w:div>
    <w:div w:id="2060321113">
      <w:bodyDiv w:val="1"/>
      <w:marLeft w:val="0"/>
      <w:marRight w:val="0"/>
      <w:marTop w:val="0"/>
      <w:marBottom w:val="0"/>
      <w:divBdr>
        <w:top w:val="none" w:sz="0" w:space="0" w:color="auto"/>
        <w:left w:val="none" w:sz="0" w:space="0" w:color="auto"/>
        <w:bottom w:val="none" w:sz="0" w:space="0" w:color="auto"/>
        <w:right w:val="none" w:sz="0" w:space="0" w:color="auto"/>
      </w:divBdr>
    </w:div>
    <w:div w:id="2066025756">
      <w:bodyDiv w:val="1"/>
      <w:marLeft w:val="0"/>
      <w:marRight w:val="0"/>
      <w:marTop w:val="0"/>
      <w:marBottom w:val="0"/>
      <w:divBdr>
        <w:top w:val="none" w:sz="0" w:space="0" w:color="auto"/>
        <w:left w:val="none" w:sz="0" w:space="0" w:color="auto"/>
        <w:bottom w:val="none" w:sz="0" w:space="0" w:color="auto"/>
        <w:right w:val="none" w:sz="0" w:space="0" w:color="auto"/>
      </w:divBdr>
    </w:div>
    <w:div w:id="2088837695">
      <w:bodyDiv w:val="1"/>
      <w:marLeft w:val="0"/>
      <w:marRight w:val="0"/>
      <w:marTop w:val="0"/>
      <w:marBottom w:val="0"/>
      <w:divBdr>
        <w:top w:val="none" w:sz="0" w:space="0" w:color="auto"/>
        <w:left w:val="none" w:sz="0" w:space="0" w:color="auto"/>
        <w:bottom w:val="none" w:sz="0" w:space="0" w:color="auto"/>
        <w:right w:val="none" w:sz="0" w:space="0" w:color="auto"/>
      </w:divBdr>
    </w:div>
    <w:div w:id="2121412610">
      <w:bodyDiv w:val="1"/>
      <w:marLeft w:val="0"/>
      <w:marRight w:val="0"/>
      <w:marTop w:val="0"/>
      <w:marBottom w:val="0"/>
      <w:divBdr>
        <w:top w:val="none" w:sz="0" w:space="0" w:color="auto"/>
        <w:left w:val="none" w:sz="0" w:space="0" w:color="auto"/>
        <w:bottom w:val="none" w:sz="0" w:space="0" w:color="auto"/>
        <w:right w:val="none" w:sz="0" w:space="0" w:color="auto"/>
      </w:divBdr>
    </w:div>
    <w:div w:id="2146461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n.wikipedia.org/wiki/Stol_(Serbia)" TargetMode="External"/><Relationship Id="rId18" Type="http://schemas.openxmlformats.org/officeDocument/2006/relationships/hyperlink" Target="http://en.wikipedia.org/wiki/Karst" TargetMode="External"/><Relationship Id="rId26" Type="http://schemas.openxmlformats.org/officeDocument/2006/relationships/hyperlink" Target="http://en.wikipedia.org/wiki/Re%C8%99i%C8%9Ba" TargetMode="External"/><Relationship Id="rId39" Type="http://schemas.openxmlformats.org/officeDocument/2006/relationships/image" Target="media/image16.jpeg"/><Relationship Id="rId21" Type="http://schemas.openxmlformats.org/officeDocument/2006/relationships/image" Target="media/image7.jpeg"/><Relationship Id="rId34" Type="http://schemas.openxmlformats.org/officeDocument/2006/relationships/chart" Target="charts/chart4.xml"/><Relationship Id="rId42" Type="http://schemas.openxmlformats.org/officeDocument/2006/relationships/image" Target="media/image17.jpeg"/><Relationship Id="rId47" Type="http://schemas.openxmlformats.org/officeDocument/2006/relationships/image" Target="media/image20.jpeg"/><Relationship Id="rId50" Type="http://schemas.openxmlformats.org/officeDocument/2006/relationships/image" Target="media/image22.jpeg"/><Relationship Id="rId55"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hyperlink" Target="http://en.wikipedia.org/wiki/Mali_Kr%C5%A1" TargetMode="External"/><Relationship Id="rId17" Type="http://schemas.openxmlformats.org/officeDocument/2006/relationships/hyperlink" Target="http://en.wikipedia.org/wiki/Stol_(Serbia)" TargetMode="External"/><Relationship Id="rId25" Type="http://schemas.openxmlformats.org/officeDocument/2006/relationships/image" Target="media/image10.jpeg"/><Relationship Id="rId33" Type="http://schemas.openxmlformats.org/officeDocument/2006/relationships/chart" Target="charts/chart3.xml"/><Relationship Id="rId38" Type="http://schemas.openxmlformats.org/officeDocument/2006/relationships/image" Target="media/image15.jpeg"/><Relationship Id="rId46"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yperlink" Target="http://en.wikipedia.org/wiki/Mali_Kr%C5%A1" TargetMode="External"/><Relationship Id="rId20" Type="http://schemas.openxmlformats.org/officeDocument/2006/relationships/image" Target="media/image6.jpeg"/><Relationship Id="rId29" Type="http://schemas.openxmlformats.org/officeDocument/2006/relationships/image" Target="media/image11.jpeg"/><Relationship Id="rId41" Type="http://schemas.openxmlformats.org/officeDocument/2006/relationships/hyperlink" Target="http://www.rome2rio.com/" TargetMode="External"/><Relationship Id="rId54"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3.xml"/><Relationship Id="rId32" Type="http://schemas.openxmlformats.org/officeDocument/2006/relationships/image" Target="media/image13.jpeg"/><Relationship Id="rId37" Type="http://schemas.openxmlformats.org/officeDocument/2006/relationships/image" Target="media/image14.emf"/><Relationship Id="rId40" Type="http://schemas.openxmlformats.org/officeDocument/2006/relationships/hyperlink" Target="http://www.rome2rio.com/" TargetMode="External"/><Relationship Id="rId45" Type="http://schemas.openxmlformats.org/officeDocument/2006/relationships/chart" Target="charts/chart7.xml"/><Relationship Id="rId53"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chart" Target="charts/chart1.xml"/><Relationship Id="rId36" Type="http://schemas.openxmlformats.org/officeDocument/2006/relationships/chart" Target="charts/chart6.xml"/><Relationship Id="rId49" Type="http://schemas.openxmlformats.org/officeDocument/2006/relationships/chart" Target="charts/chart9.xml"/><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image" Target="media/image12.jpeg"/><Relationship Id="rId44" Type="http://schemas.openxmlformats.org/officeDocument/2006/relationships/image" Target="media/image19.jpeg"/><Relationship Id="rId52" Type="http://schemas.openxmlformats.org/officeDocument/2006/relationships/chart" Target="charts/chart10.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en.wikipedia.org/wiki/Karst" TargetMode="External"/><Relationship Id="rId22" Type="http://schemas.openxmlformats.org/officeDocument/2006/relationships/image" Target="media/image8.jpeg"/><Relationship Id="rId27" Type="http://schemas.openxmlformats.org/officeDocument/2006/relationships/hyperlink" Target="http://en.wikipedia.org/wiki/Mining" TargetMode="External"/><Relationship Id="rId30" Type="http://schemas.openxmlformats.org/officeDocument/2006/relationships/chart" Target="charts/chart2.xml"/><Relationship Id="rId35" Type="http://schemas.openxmlformats.org/officeDocument/2006/relationships/chart" Target="charts/chart5.xml"/><Relationship Id="rId43" Type="http://schemas.openxmlformats.org/officeDocument/2006/relationships/image" Target="media/image18.jpeg"/><Relationship Id="rId48" Type="http://schemas.openxmlformats.org/officeDocument/2006/relationships/image" Target="media/image21.jpeg"/><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3.jpe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8" Type="http://schemas.openxmlformats.org/officeDocument/2006/relationships/hyperlink" Target="http://www.geni.org/globalenergy/library/renewable-energy-resources/world/Europe/wind-europe/wind-serbia.shtml" TargetMode="External"/><Relationship Id="rId13" Type="http://schemas.openxmlformats.org/officeDocument/2006/relationships/hyperlink" Target="http://ec.europa.eu/transport/infrastructure/%20tentec/tentec-portal/site/en/maps.html" TargetMode="External"/><Relationship Id="rId18" Type="http://schemas.openxmlformats.org/officeDocument/2006/relationships/hyperlink" Target="http://virtuelnimuzejdunava.rs/serbia/cultural-heritage/fortresses/kladovo-fortress-(fetislam).369.html" TargetMode="External"/><Relationship Id="rId3" Type="http://schemas.openxmlformats.org/officeDocument/2006/relationships/hyperlink" Target="http://www.mrrls.gov.rs/sites/default/files/attachment%20/UREDBA%20O%20NOMENKLATURI%20STATISTICKIH%20TERITORIJALNIH%20JEDINICA%20latinica.pdf" TargetMode="External"/><Relationship Id="rId21" Type="http://schemas.openxmlformats.org/officeDocument/2006/relationships/hyperlink" Target="http://marketing-pr.fon.rs/webroot/uploads/Gradovi%20i%20opstine%202011%20G20112005.pdf" TargetMode="External"/><Relationship Id="rId7" Type="http://schemas.openxmlformats.org/officeDocument/2006/relationships/hyperlink" Target="http://www.irena.org/DocumentDownloads/events/2013/December/Background_Paper-C.pdf" TargetMode="External"/><Relationship Id="rId12" Type="http://schemas.openxmlformats.org/officeDocument/2006/relationships/hyperlink" Target="http://sedac.ciesin.columbia.edu/%20povmap/downloads/%20methods/%20Harta_%20saraciei_in%20_Romania.pdf" TargetMode="External"/><Relationship Id="rId17" Type="http://schemas.openxmlformats.org/officeDocument/2006/relationships/hyperlink" Target="http://virtuelnimuzejdunava.rs/serbia/natural-heritage/special-nature-reserves/karadjordjevo.454.html" TargetMode="External"/><Relationship Id="rId2" Type="http://schemas.openxmlformats.org/officeDocument/2006/relationships/hyperlink" Target="http://www.icpdr.org/main/danube-basin/countries-danube-river-basin" TargetMode="External"/><Relationship Id="rId16" Type="http://schemas.openxmlformats.org/officeDocument/2006/relationships/hyperlink" Target="http://www.kikinda-turizam.rs" TargetMode="External"/><Relationship Id="rId20" Type="http://schemas.openxmlformats.org/officeDocument/2006/relationships/hyperlink" Target="http://whc.unesco.org/en/tentativelists/5537/" TargetMode="External"/><Relationship Id="rId1" Type="http://schemas.openxmlformats.org/officeDocument/2006/relationships/hyperlink" Target="http://ec.europa.eu/regional%20_policy/what/%20future/experts%20_documents_en.cfm" TargetMode="External"/><Relationship Id="rId6" Type="http://schemas.openxmlformats.org/officeDocument/2006/relationships/hyperlink" Target="http://www.renewablefacts.com/country/serbia/hydro" TargetMode="External"/><Relationship Id="rId11" Type="http://schemas.openxmlformats.org/officeDocument/2006/relationships/hyperlink" Target="http://epp.eurostat.ec.europa.eu/statistics_explained/index.php/Glossary:EU%20_statistics_on_income%20_and_living_conditions" TargetMode="External"/><Relationship Id="rId24" Type="http://schemas.openxmlformats.org/officeDocument/2006/relationships/hyperlink" Target="http://ec.europa.eu/regional_policy/sources/docoffic/" TargetMode="External"/><Relationship Id="rId5" Type="http://schemas.openxmlformats.org/officeDocument/2006/relationships/hyperlink" Target="http://www.renewablefacts.com/country/romania/hydro" TargetMode="External"/><Relationship Id="rId15" Type="http://schemas.openxmlformats.org/officeDocument/2006/relationships/hyperlink" Target="http://www.netindex.com/upload/2,225/Serbia/" TargetMode="External"/><Relationship Id="rId23" Type="http://schemas.openxmlformats.org/officeDocument/2006/relationships/hyperlink" Target="http://epp.eurostat.ec.europa.eu/statistics_explained/index.php/Tourism_statistics_-_occupancy%20_rates_in_hotels_and_similar_establishments" TargetMode="External"/><Relationship Id="rId10" Type="http://schemas.openxmlformats.org/officeDocument/2006/relationships/hyperlink" Target="http://www.investinserbia.biz" TargetMode="External"/><Relationship Id="rId19" Type="http://schemas.openxmlformats.org/officeDocument/2006/relationships/hyperlink" Target="http://virtuelnimuzejdunava.rs/serbia/cultural-heritage/archaeological-map-of-danube/trajan%E2%80%99s-plaque--tabula-traiana-.trajanova-tabla.355.html" TargetMode="External"/><Relationship Id="rId4" Type="http://schemas.openxmlformats.org/officeDocument/2006/relationships/hyperlink" Target="http://epp.eurostat.ec.europa.eu/statistics_explained/index.php/Urban-rural_typology" TargetMode="External"/><Relationship Id="rId9" Type="http://schemas.openxmlformats.org/officeDocument/2006/relationships/hyperlink" Target="http://www.usz.gov.rs/eng/index.php" TargetMode="External"/><Relationship Id="rId14" Type="http://schemas.openxmlformats.org/officeDocument/2006/relationships/hyperlink" Target="http://epp.eurostat.ec.europa.eu/%20cache/ITY_OFFPUB/KS-SF-12-050/EN/KS-SF-12-050-EN.PDF" TargetMode="External"/><Relationship Id="rId22" Type="http://schemas.openxmlformats.org/officeDocument/2006/relationships/hyperlink" Target="https://www.google.rs/url?sa=t&amp;rct=j&amp;q=&amp;esrc=s&amp;source=web&amp;cd=1&amp;cad=rja&amp;uact=8&amp;ved=0CCkQFjAA&amp;url=http%3A%2F%2Fwww.futura.edu.rs%2Fservisi%2Fmaterijali%2FEP%2520Opstine%2520Kikinda%2520final%25201.ppt&amp;ei=B8koU6m4Msj-ygPPq4LACg&amp;usg=AFQjCNGQXhliQgF76m-Kccg7BAerpPQS7g&amp;bvm=bv.62922401,d.bGQ"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D:\cbc\TA%20Poduniavski\CBC_Romania_County%20level%20Data%20revised%20population%202011%20plus%20poduniasky.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cbc\TA%20Poduniavski\CBC_Romania_County%20level%20Data%20revised%20population%202011%20plus%20poduniasky.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cbc\Info%20for%20Alex\Info%20for%20Alex\Labor%20Market%20Unemployement%20statistic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cbc\Info%20for%20Alex\Info%20for%20Alex\Women%20unemployment.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Biagio\Desktop\AAA%20Serbia%20Romania\task%201\Revison%20after%20poduniasky%20approval\Labor%20Market%20Unemployement%20statistics%20plus%20podunavski.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Biagio\Desktop\AAA%20Serbia%20Romania\task%201\Revison%20after%20poduniasky%20approval\Labor%20Market%20Unemployement%20statistics%20plus%20podunavski.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cbc\Info%20for%20Alex\Info%20for%20Alex\Access%20to%20health%20%20care%20service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cbc\TA%20Poduniavski\CBC_Romania_County%20level%20Data%20revised%20population%202011%20plus%20poduniasky.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cbc\TA%20Poduniavski\CBC_Romania_County%20level%20Data%20revised%20population%202011%20plus%20poduniasky.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cbc\Info%20for%20Alex\Info%20for%20Alex\Tourism%20facilities,%20beds%20%20plus%20arrival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it-IT" sz="1400"/>
              <a:t>Number of SMEs /</a:t>
            </a:r>
          </a:p>
          <a:p>
            <a:pPr>
              <a:defRPr sz="1400"/>
            </a:pPr>
            <a:r>
              <a:rPr lang="it-IT" sz="1400"/>
              <a:t>1000 Inhabitants </a:t>
            </a:r>
          </a:p>
        </c:rich>
      </c:tx>
      <c:layout>
        <c:manualLayout>
          <c:xMode val="edge"/>
          <c:yMode val="edge"/>
          <c:x val="0.33562390908033207"/>
          <c:y val="3.0303030303030311E-2"/>
        </c:manualLayout>
      </c:layout>
      <c:overlay val="1"/>
    </c:title>
    <c:autoTitleDeleted val="0"/>
    <c:plotArea>
      <c:layout>
        <c:manualLayout>
          <c:layoutTarget val="inner"/>
          <c:xMode val="edge"/>
          <c:yMode val="edge"/>
          <c:x val="0.14144783626184748"/>
          <c:y val="0.19357015032211883"/>
          <c:w val="0.82242736899266389"/>
          <c:h val="0.55364471486519096"/>
        </c:manualLayout>
      </c:layout>
      <c:barChart>
        <c:barDir val="col"/>
        <c:grouping val="clustered"/>
        <c:varyColors val="0"/>
        <c:ser>
          <c:idx val="0"/>
          <c:order val="0"/>
          <c:invertIfNegative val="0"/>
          <c:dPt>
            <c:idx val="3"/>
            <c:invertIfNegative val="0"/>
            <c:bubble3D val="0"/>
            <c:spPr>
              <a:solidFill>
                <a:schemeClr val="tx2">
                  <a:lumMod val="40000"/>
                  <a:lumOff val="60000"/>
                </a:schemeClr>
              </a:solidFill>
            </c:spPr>
          </c:dPt>
          <c:dPt>
            <c:idx val="4"/>
            <c:invertIfNegative val="0"/>
            <c:bubble3D val="0"/>
            <c:spPr>
              <a:solidFill>
                <a:schemeClr val="accent6">
                  <a:lumMod val="75000"/>
                </a:schemeClr>
              </a:solidFill>
              <a:ln>
                <a:solidFill>
                  <a:schemeClr val="accent1"/>
                </a:solidFill>
              </a:ln>
            </c:spPr>
          </c:dPt>
          <c:dPt>
            <c:idx val="5"/>
            <c:invertIfNegative val="0"/>
            <c:bubble3D val="0"/>
            <c:spPr>
              <a:solidFill>
                <a:schemeClr val="accent6">
                  <a:lumMod val="75000"/>
                </a:schemeClr>
              </a:solidFill>
            </c:spPr>
          </c:dPt>
          <c:dPt>
            <c:idx val="6"/>
            <c:invertIfNegative val="0"/>
            <c:bubble3D val="0"/>
            <c:spPr>
              <a:solidFill>
                <a:schemeClr val="accent6">
                  <a:lumMod val="75000"/>
                </a:schemeClr>
              </a:solidFill>
            </c:spPr>
          </c:dPt>
          <c:dPt>
            <c:idx val="7"/>
            <c:invertIfNegative val="0"/>
            <c:bubble3D val="0"/>
            <c:spPr>
              <a:solidFill>
                <a:schemeClr val="accent6">
                  <a:lumMod val="75000"/>
                </a:schemeClr>
              </a:solidFill>
            </c:spPr>
          </c:dPt>
          <c:dPt>
            <c:idx val="8"/>
            <c:invertIfNegative val="0"/>
            <c:bubble3D val="0"/>
            <c:spPr>
              <a:solidFill>
                <a:schemeClr val="accent6">
                  <a:lumMod val="75000"/>
                </a:schemeClr>
              </a:solidFill>
            </c:spPr>
          </c:dPt>
          <c:dPt>
            <c:idx val="9"/>
            <c:invertIfNegative val="0"/>
            <c:bubble3D val="0"/>
            <c:spPr>
              <a:solidFill>
                <a:schemeClr val="accent6">
                  <a:lumMod val="40000"/>
                  <a:lumOff val="60000"/>
                </a:schemeClr>
              </a:solidFill>
            </c:spPr>
          </c:dPt>
          <c:cat>
            <c:strRef>
              <c:f>data!$B$4:$B$14</c:f>
              <c:strCache>
                <c:ptCount val="11"/>
                <c:pt idx="0">
                  <c:v>Timiş</c:v>
                </c:pt>
                <c:pt idx="1">
                  <c:v>Caraş-Severin</c:v>
                </c:pt>
                <c:pt idx="2">
                  <c:v>Mehedinţi</c:v>
                </c:pt>
                <c:pt idx="3">
                  <c:v>ROMANIA</c:v>
                </c:pt>
                <c:pt idx="4">
                  <c:v>North Banatski</c:v>
                </c:pt>
                <c:pt idx="5">
                  <c:v>Centre Banatski</c:v>
                </c:pt>
                <c:pt idx="6">
                  <c:v>South Banatski</c:v>
                </c:pt>
                <c:pt idx="7">
                  <c:v>Podunavski</c:v>
                </c:pt>
                <c:pt idx="8">
                  <c:v>Braničevski</c:v>
                </c:pt>
                <c:pt idx="9">
                  <c:v>Borski</c:v>
                </c:pt>
                <c:pt idx="10">
                  <c:v>SERBIA</c:v>
                </c:pt>
              </c:strCache>
            </c:strRef>
          </c:cat>
          <c:val>
            <c:numRef>
              <c:f>data!$N$4:$N$14</c:f>
              <c:numCache>
                <c:formatCode>_(* #,##0.00_);_(* \(#,##0.00\);_(* "-"??_);_(@_)</c:formatCode>
                <c:ptCount val="11"/>
                <c:pt idx="0">
                  <c:v>39.535360037452087</c:v>
                </c:pt>
                <c:pt idx="1">
                  <c:v>18.857902625017338</c:v>
                </c:pt>
                <c:pt idx="2">
                  <c:v>16.161121368551942</c:v>
                </c:pt>
                <c:pt idx="3">
                  <c:v>40.679926824311103</c:v>
                </c:pt>
                <c:pt idx="4">
                  <c:v>32.164850781620075</c:v>
                </c:pt>
                <c:pt idx="5">
                  <c:v>32.920012575466096</c:v>
                </c:pt>
                <c:pt idx="6">
                  <c:v>45.943553603649498</c:v>
                </c:pt>
                <c:pt idx="7">
                  <c:v>36.359988966623995</c:v>
                </c:pt>
                <c:pt idx="8">
                  <c:v>34.810074880871348</c:v>
                </c:pt>
                <c:pt idx="9">
                  <c:v>31.073988735279055</c:v>
                </c:pt>
                <c:pt idx="10">
                  <c:v>44.428848084184807</c:v>
                </c:pt>
              </c:numCache>
            </c:numRef>
          </c:val>
        </c:ser>
        <c:dLbls>
          <c:showLegendKey val="0"/>
          <c:showVal val="0"/>
          <c:showCatName val="0"/>
          <c:showSerName val="0"/>
          <c:showPercent val="0"/>
          <c:showBubbleSize val="0"/>
        </c:dLbls>
        <c:gapWidth val="150"/>
        <c:axId val="144183616"/>
        <c:axId val="144349088"/>
      </c:barChart>
      <c:catAx>
        <c:axId val="144183616"/>
        <c:scaling>
          <c:orientation val="minMax"/>
        </c:scaling>
        <c:delete val="0"/>
        <c:axPos val="b"/>
        <c:numFmt formatCode="General" sourceLinked="0"/>
        <c:majorTickMark val="out"/>
        <c:minorTickMark val="none"/>
        <c:tickLblPos val="nextTo"/>
        <c:crossAx val="144349088"/>
        <c:crosses val="autoZero"/>
        <c:auto val="1"/>
        <c:lblAlgn val="ctr"/>
        <c:lblOffset val="100"/>
        <c:noMultiLvlLbl val="0"/>
      </c:catAx>
      <c:valAx>
        <c:axId val="144349088"/>
        <c:scaling>
          <c:orientation val="minMax"/>
        </c:scaling>
        <c:delete val="0"/>
        <c:axPos val="l"/>
        <c:majorGridlines/>
        <c:numFmt formatCode="_(* #,##0.00_);_(* \(#,##0.00\);_(* &quot;-&quot;??_);_(@_)" sourceLinked="1"/>
        <c:majorTickMark val="out"/>
        <c:minorTickMark val="none"/>
        <c:tickLblPos val="nextTo"/>
        <c:crossAx val="144183616"/>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data!$V$1</c:f>
              <c:strCache>
                <c:ptCount val="1"/>
                <c:pt idx="0">
                  <c:v>students / Teacher</c:v>
                </c:pt>
              </c:strCache>
            </c:strRef>
          </c:tx>
          <c:invertIfNegative val="0"/>
          <c:cat>
            <c:strRef>
              <c:f>data!$B$4:$B$14</c:f>
              <c:strCache>
                <c:ptCount val="11"/>
                <c:pt idx="0">
                  <c:v>Timiş</c:v>
                </c:pt>
                <c:pt idx="1">
                  <c:v>Caraş-Severin</c:v>
                </c:pt>
                <c:pt idx="2">
                  <c:v>Mehedinţi</c:v>
                </c:pt>
                <c:pt idx="3">
                  <c:v>ROMANIA</c:v>
                </c:pt>
                <c:pt idx="4">
                  <c:v>North Banatski</c:v>
                </c:pt>
                <c:pt idx="5">
                  <c:v>Centre Banatski</c:v>
                </c:pt>
                <c:pt idx="6">
                  <c:v>South Banatski</c:v>
                </c:pt>
                <c:pt idx="7">
                  <c:v>Podunavski</c:v>
                </c:pt>
                <c:pt idx="8">
                  <c:v>Braničevski</c:v>
                </c:pt>
                <c:pt idx="9">
                  <c:v>Borski</c:v>
                </c:pt>
                <c:pt idx="10">
                  <c:v>SERBIA</c:v>
                </c:pt>
              </c:strCache>
            </c:strRef>
          </c:cat>
          <c:val>
            <c:numRef>
              <c:f>data!$V$4:$V$14</c:f>
              <c:numCache>
                <c:formatCode>_(* #,##0.00_);_(* \(#,##0.00\);_(* "-"??_);_(@_)</c:formatCode>
                <c:ptCount val="11"/>
                <c:pt idx="0">
                  <c:v>11.387168883424614</c:v>
                </c:pt>
                <c:pt idx="1">
                  <c:v>13.141333333333318</c:v>
                </c:pt>
                <c:pt idx="2">
                  <c:v>14.176638176638177</c:v>
                </c:pt>
                <c:pt idx="3">
                  <c:v>15.449356935919866</c:v>
                </c:pt>
                <c:pt idx="4">
                  <c:v>7.0349470984289795</c:v>
                </c:pt>
                <c:pt idx="5">
                  <c:v>7.5487741262389045</c:v>
                </c:pt>
                <c:pt idx="6">
                  <c:v>8.7946705226192936</c:v>
                </c:pt>
                <c:pt idx="7">
                  <c:v>9.1028213166144187</c:v>
                </c:pt>
                <c:pt idx="8">
                  <c:v>8.597624869018512</c:v>
                </c:pt>
                <c:pt idx="9">
                  <c:v>6.5687763713080054</c:v>
                </c:pt>
                <c:pt idx="10">
                  <c:v>7.8866544789762285</c:v>
                </c:pt>
              </c:numCache>
            </c:numRef>
          </c:val>
        </c:ser>
        <c:ser>
          <c:idx val="1"/>
          <c:order val="1"/>
          <c:tx>
            <c:strRef>
              <c:f>data!$W$1</c:f>
              <c:strCache>
                <c:ptCount val="1"/>
                <c:pt idx="0">
                  <c:v>Teachers/1000 inhabitants</c:v>
                </c:pt>
              </c:strCache>
            </c:strRef>
          </c:tx>
          <c:invertIfNegative val="0"/>
          <c:cat>
            <c:strRef>
              <c:f>data!$B$4:$B$14</c:f>
              <c:strCache>
                <c:ptCount val="11"/>
                <c:pt idx="0">
                  <c:v>Timiş</c:v>
                </c:pt>
                <c:pt idx="1">
                  <c:v>Caraş-Severin</c:v>
                </c:pt>
                <c:pt idx="2">
                  <c:v>Mehedinţi</c:v>
                </c:pt>
                <c:pt idx="3">
                  <c:v>ROMANIA</c:v>
                </c:pt>
                <c:pt idx="4">
                  <c:v>North Banatski</c:v>
                </c:pt>
                <c:pt idx="5">
                  <c:v>Centre Banatski</c:v>
                </c:pt>
                <c:pt idx="6">
                  <c:v>South Banatski</c:v>
                </c:pt>
                <c:pt idx="7">
                  <c:v>Podunavski</c:v>
                </c:pt>
                <c:pt idx="8">
                  <c:v>Braničevski</c:v>
                </c:pt>
                <c:pt idx="9">
                  <c:v>Borski</c:v>
                </c:pt>
                <c:pt idx="10">
                  <c:v>SERBIA</c:v>
                </c:pt>
              </c:strCache>
            </c:strRef>
          </c:cat>
          <c:val>
            <c:numRef>
              <c:f>data!$W$4:$W$14</c:f>
              <c:numCache>
                <c:formatCode>_(* #,##0.00_);_(* \(#,##0.00\);_(* "-"??_);_(@_)</c:formatCode>
                <c:ptCount val="11"/>
                <c:pt idx="0">
                  <c:v>13.089212043186954</c:v>
                </c:pt>
                <c:pt idx="1">
                  <c:v>12.686963552891099</c:v>
                </c:pt>
                <c:pt idx="2">
                  <c:v>11.903236745921102</c:v>
                </c:pt>
                <c:pt idx="3">
                  <c:v>11.518324802266513</c:v>
                </c:pt>
                <c:pt idx="4">
                  <c:v>21.107125938959193</c:v>
                </c:pt>
                <c:pt idx="5">
                  <c:v>20.429803854700079</c:v>
                </c:pt>
                <c:pt idx="6">
                  <c:v>16.481122118952779</c:v>
                </c:pt>
                <c:pt idx="7">
                  <c:v>15.998395145314543</c:v>
                </c:pt>
                <c:pt idx="8">
                  <c:v>15.591558883594281</c:v>
                </c:pt>
                <c:pt idx="9">
                  <c:v>18.961213517665072</c:v>
                </c:pt>
                <c:pt idx="10">
                  <c:v>19.25610927272561</c:v>
                </c:pt>
              </c:numCache>
            </c:numRef>
          </c:val>
        </c:ser>
        <c:dLbls>
          <c:showLegendKey val="0"/>
          <c:showVal val="0"/>
          <c:showCatName val="0"/>
          <c:showSerName val="0"/>
          <c:showPercent val="0"/>
          <c:showBubbleSize val="0"/>
        </c:dLbls>
        <c:gapWidth val="150"/>
        <c:axId val="144760960"/>
        <c:axId val="144761352"/>
      </c:barChart>
      <c:catAx>
        <c:axId val="144760960"/>
        <c:scaling>
          <c:orientation val="minMax"/>
        </c:scaling>
        <c:delete val="0"/>
        <c:axPos val="l"/>
        <c:numFmt formatCode="General" sourceLinked="0"/>
        <c:majorTickMark val="out"/>
        <c:minorTickMark val="none"/>
        <c:tickLblPos val="nextTo"/>
        <c:crossAx val="144761352"/>
        <c:crosses val="autoZero"/>
        <c:auto val="1"/>
        <c:lblAlgn val="ctr"/>
        <c:lblOffset val="100"/>
        <c:noMultiLvlLbl val="0"/>
      </c:catAx>
      <c:valAx>
        <c:axId val="144761352"/>
        <c:scaling>
          <c:orientation val="minMax"/>
        </c:scaling>
        <c:delete val="0"/>
        <c:axPos val="b"/>
        <c:majorGridlines/>
        <c:numFmt formatCode="_(* #,##0.00_);_(* \(#,##0.00\);_(* &quot;-&quot;??_);_(@_)" sourceLinked="1"/>
        <c:majorTickMark val="out"/>
        <c:minorTickMark val="none"/>
        <c:tickLblPos val="nextTo"/>
        <c:crossAx val="144760960"/>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Unemployment</a:t>
            </a:r>
            <a:r>
              <a:rPr lang="it-IT" sz="1200" baseline="0"/>
              <a:t> Rate </a:t>
            </a:r>
            <a:endParaRPr lang="it-IT" sz="1200"/>
          </a:p>
        </c:rich>
      </c:tx>
      <c:layout/>
      <c:overlay val="0"/>
    </c:title>
    <c:autoTitleDeleted val="0"/>
    <c:plotArea>
      <c:layout/>
      <c:barChart>
        <c:barDir val="bar"/>
        <c:grouping val="clustered"/>
        <c:varyColors val="0"/>
        <c:ser>
          <c:idx val="0"/>
          <c:order val="0"/>
          <c:invertIfNegative val="0"/>
          <c:dPt>
            <c:idx val="3"/>
            <c:invertIfNegative val="0"/>
            <c:bubble3D val="0"/>
            <c:spPr>
              <a:solidFill>
                <a:schemeClr val="accent1">
                  <a:lumMod val="75000"/>
                </a:schemeClr>
              </a:solidFill>
            </c:spPr>
          </c:dPt>
          <c:dPt>
            <c:idx val="9"/>
            <c:invertIfNegative val="0"/>
            <c:bubble3D val="0"/>
            <c:spPr>
              <a:solidFill>
                <a:schemeClr val="accent1">
                  <a:lumMod val="75000"/>
                </a:schemeClr>
              </a:solidFill>
            </c:spPr>
          </c:dPt>
          <c:cat>
            <c:strRef>
              <c:f>Foglio1!$B$4:$B$14</c:f>
              <c:strCache>
                <c:ptCount val="11"/>
                <c:pt idx="0">
                  <c:v>Timiş</c:v>
                </c:pt>
                <c:pt idx="1">
                  <c:v>Caraş-Severin</c:v>
                </c:pt>
                <c:pt idx="2">
                  <c:v>Mehedinţi</c:v>
                </c:pt>
                <c:pt idx="3">
                  <c:v>ROMANIA</c:v>
                </c:pt>
                <c:pt idx="4">
                  <c:v>Severno-Banatski</c:v>
                </c:pt>
                <c:pt idx="5">
                  <c:v>Srednje-Banatski</c:v>
                </c:pt>
                <c:pt idx="6">
                  <c:v>Južno-Banatski</c:v>
                </c:pt>
                <c:pt idx="7">
                  <c:v>Podunavski</c:v>
                </c:pt>
                <c:pt idx="8">
                  <c:v>Braničevski</c:v>
                </c:pt>
                <c:pt idx="9">
                  <c:v>Borski</c:v>
                </c:pt>
                <c:pt idx="10">
                  <c:v>SERBIA</c:v>
                </c:pt>
              </c:strCache>
            </c:strRef>
          </c:cat>
          <c:val>
            <c:numRef>
              <c:f>Foglio1!$J$4:$J$14</c:f>
              <c:numCache>
                <c:formatCode>#,##0</c:formatCode>
                <c:ptCount val="11"/>
                <c:pt idx="0" formatCode="#,##0.0">
                  <c:v>20</c:v>
                </c:pt>
                <c:pt idx="1">
                  <c:v>55</c:v>
                </c:pt>
                <c:pt idx="2">
                  <c:v>95</c:v>
                </c:pt>
                <c:pt idx="3">
                  <c:v>54</c:v>
                </c:pt>
                <c:pt idx="4">
                  <c:v>86</c:v>
                </c:pt>
                <c:pt idx="5">
                  <c:v>100</c:v>
                </c:pt>
                <c:pt idx="6">
                  <c:v>118</c:v>
                </c:pt>
                <c:pt idx="7">
                  <c:v>84</c:v>
                </c:pt>
                <c:pt idx="8">
                  <c:v>66</c:v>
                </c:pt>
                <c:pt idx="9">
                  <c:v>106</c:v>
                </c:pt>
                <c:pt idx="10">
                  <c:v>106</c:v>
                </c:pt>
              </c:numCache>
            </c:numRef>
          </c:val>
        </c:ser>
        <c:dLbls>
          <c:showLegendKey val="0"/>
          <c:showVal val="0"/>
          <c:showCatName val="0"/>
          <c:showSerName val="0"/>
          <c:showPercent val="0"/>
          <c:showBubbleSize val="0"/>
        </c:dLbls>
        <c:gapWidth val="150"/>
        <c:axId val="144794592"/>
        <c:axId val="144794976"/>
      </c:barChart>
      <c:catAx>
        <c:axId val="144794592"/>
        <c:scaling>
          <c:orientation val="minMax"/>
        </c:scaling>
        <c:delete val="0"/>
        <c:axPos val="l"/>
        <c:numFmt formatCode="General" sourceLinked="0"/>
        <c:majorTickMark val="out"/>
        <c:minorTickMark val="none"/>
        <c:tickLblPos val="nextTo"/>
        <c:crossAx val="144794976"/>
        <c:crosses val="autoZero"/>
        <c:auto val="1"/>
        <c:lblAlgn val="ctr"/>
        <c:lblOffset val="100"/>
        <c:noMultiLvlLbl val="0"/>
      </c:catAx>
      <c:valAx>
        <c:axId val="144794976"/>
        <c:scaling>
          <c:orientation val="minMax"/>
        </c:scaling>
        <c:delete val="0"/>
        <c:axPos val="b"/>
        <c:majorGridlines/>
        <c:title>
          <c:tx>
            <c:rich>
              <a:bodyPr/>
              <a:lstStyle/>
              <a:p>
                <a:pPr>
                  <a:defRPr/>
                </a:pPr>
                <a:r>
                  <a:rPr lang="it-IT"/>
                  <a:t>Unemployed/1000</a:t>
                </a:r>
                <a:r>
                  <a:rPr lang="it-IT" baseline="0"/>
                  <a:t> inhabitants</a:t>
                </a:r>
                <a:endParaRPr lang="it-IT"/>
              </a:p>
            </c:rich>
          </c:tx>
          <c:layout/>
          <c:overlay val="0"/>
        </c:title>
        <c:numFmt formatCode="#,##0.0" sourceLinked="1"/>
        <c:majorTickMark val="out"/>
        <c:minorTickMark val="none"/>
        <c:tickLblPos val="nextTo"/>
        <c:crossAx val="14479459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t-IT" sz="1200"/>
              <a:t>% women on</a:t>
            </a:r>
            <a:r>
              <a:rPr lang="it-IT" sz="1200" baseline="0"/>
              <a:t> unemployed </a:t>
            </a:r>
            <a:endParaRPr lang="it-IT" sz="1200"/>
          </a:p>
        </c:rich>
      </c:tx>
      <c:layout/>
      <c:overlay val="0"/>
    </c:title>
    <c:autoTitleDeleted val="0"/>
    <c:plotArea>
      <c:layout/>
      <c:barChart>
        <c:barDir val="col"/>
        <c:grouping val="clustered"/>
        <c:varyColors val="0"/>
        <c:ser>
          <c:idx val="0"/>
          <c:order val="0"/>
          <c:invertIfNegative val="0"/>
          <c:cat>
            <c:strRef>
              <c:f>data!$B$4:$B$14</c:f>
              <c:strCache>
                <c:ptCount val="11"/>
                <c:pt idx="0">
                  <c:v>Timiş</c:v>
                </c:pt>
                <c:pt idx="1">
                  <c:v>Caraş-Severin</c:v>
                </c:pt>
                <c:pt idx="2">
                  <c:v>Mehedinţi</c:v>
                </c:pt>
                <c:pt idx="3">
                  <c:v>ROMANIA</c:v>
                </c:pt>
                <c:pt idx="4">
                  <c:v>Severno-Banatski</c:v>
                </c:pt>
                <c:pt idx="5">
                  <c:v>Srednje-Banatski</c:v>
                </c:pt>
                <c:pt idx="6">
                  <c:v>Južno-Banatski</c:v>
                </c:pt>
                <c:pt idx="7">
                  <c:v>Podunavski</c:v>
                </c:pt>
                <c:pt idx="8">
                  <c:v>Braničevski</c:v>
                </c:pt>
                <c:pt idx="9">
                  <c:v>Borski</c:v>
                </c:pt>
                <c:pt idx="10">
                  <c:v>SERBIA</c:v>
                </c:pt>
              </c:strCache>
            </c:strRef>
          </c:cat>
          <c:val>
            <c:numRef>
              <c:f>data!$AI$4:$AI$14</c:f>
              <c:numCache>
                <c:formatCode>0.00%</c:formatCode>
                <c:ptCount val="11"/>
                <c:pt idx="0">
                  <c:v>0.50095541401273891</c:v>
                </c:pt>
                <c:pt idx="1">
                  <c:v>0.45718949399020703</c:v>
                </c:pt>
                <c:pt idx="2">
                  <c:v>0.41528180779038082</c:v>
                </c:pt>
                <c:pt idx="3">
                  <c:v>0.44175977683926482</c:v>
                </c:pt>
                <c:pt idx="4">
                  <c:v>0.49539482595151096</c:v>
                </c:pt>
                <c:pt idx="5">
                  <c:v>0.49477619584144328</c:v>
                </c:pt>
                <c:pt idx="6">
                  <c:v>0.51932733161006628</c:v>
                </c:pt>
                <c:pt idx="7">
                  <c:v>0.56299999999999994</c:v>
                </c:pt>
                <c:pt idx="8">
                  <c:v>0.51868872549019662</c:v>
                </c:pt>
                <c:pt idx="9">
                  <c:v>0.52064803049555475</c:v>
                </c:pt>
                <c:pt idx="10">
                  <c:v>0.5207429787372273</c:v>
                </c:pt>
              </c:numCache>
            </c:numRef>
          </c:val>
        </c:ser>
        <c:dLbls>
          <c:showLegendKey val="0"/>
          <c:showVal val="0"/>
          <c:showCatName val="0"/>
          <c:showSerName val="0"/>
          <c:showPercent val="0"/>
          <c:showBubbleSize val="0"/>
        </c:dLbls>
        <c:gapWidth val="150"/>
        <c:axId val="144781200"/>
        <c:axId val="144781584"/>
      </c:barChart>
      <c:catAx>
        <c:axId val="144781200"/>
        <c:scaling>
          <c:orientation val="minMax"/>
        </c:scaling>
        <c:delete val="0"/>
        <c:axPos val="b"/>
        <c:numFmt formatCode="General" sourceLinked="0"/>
        <c:majorTickMark val="out"/>
        <c:minorTickMark val="none"/>
        <c:tickLblPos val="nextTo"/>
        <c:crossAx val="144781584"/>
        <c:crosses val="autoZero"/>
        <c:auto val="1"/>
        <c:lblAlgn val="ctr"/>
        <c:lblOffset val="100"/>
        <c:noMultiLvlLbl val="0"/>
      </c:catAx>
      <c:valAx>
        <c:axId val="144781584"/>
        <c:scaling>
          <c:orientation val="minMax"/>
        </c:scaling>
        <c:delete val="0"/>
        <c:axPos val="l"/>
        <c:majorGridlines/>
        <c:numFmt formatCode="0.00%" sourceLinked="1"/>
        <c:majorTickMark val="out"/>
        <c:minorTickMark val="none"/>
        <c:tickLblPos val="nextTo"/>
        <c:crossAx val="144781200"/>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t-IT" sz="1200"/>
              <a:t>Education</a:t>
            </a:r>
            <a:r>
              <a:rPr lang="it-IT" sz="1200" baseline="0"/>
              <a:t> impact on unemployment</a:t>
            </a:r>
            <a:endParaRPr lang="it-IT" sz="1200"/>
          </a:p>
        </c:rich>
      </c:tx>
      <c:layout/>
      <c:overlay val="0"/>
    </c:title>
    <c:autoTitleDeleted val="0"/>
    <c:plotArea>
      <c:layout/>
      <c:scatterChart>
        <c:scatterStyle val="lineMarker"/>
        <c:varyColors val="0"/>
        <c:ser>
          <c:idx val="0"/>
          <c:order val="0"/>
          <c:spPr>
            <a:ln w="28575">
              <a:noFill/>
            </a:ln>
          </c:spPr>
          <c:trendline>
            <c:spPr>
              <a:ln w="25400">
                <a:solidFill>
                  <a:srgbClr val="FF0000"/>
                </a:solidFill>
                <a:tailEnd type="triangle"/>
              </a:ln>
            </c:spPr>
            <c:trendlineType val="linear"/>
            <c:dispRSqr val="1"/>
            <c:dispEq val="0"/>
            <c:trendlineLbl>
              <c:layout>
                <c:manualLayout>
                  <c:x val="-0.21213385826771652"/>
                  <c:y val="1.5894575678040295E-2"/>
                </c:manualLayout>
              </c:layout>
              <c:numFmt formatCode="General" sourceLinked="0"/>
            </c:trendlineLbl>
          </c:trendline>
          <c:xVal>
            <c:numRef>
              <c:f>Foglio1!$M$4:$M$14</c:f>
              <c:numCache>
                <c:formatCode>0%</c:formatCode>
                <c:ptCount val="11"/>
                <c:pt idx="0">
                  <c:v>0.7747447113555922</c:v>
                </c:pt>
                <c:pt idx="1">
                  <c:v>0.71972975076037304</c:v>
                </c:pt>
                <c:pt idx="2">
                  <c:v>0.69400504917291528</c:v>
                </c:pt>
                <c:pt idx="3">
                  <c:v>0.66789538354336475</c:v>
                </c:pt>
                <c:pt idx="4">
                  <c:v>0.44069543829612723</c:v>
                </c:pt>
                <c:pt idx="5">
                  <c:v>0.479516060943317</c:v>
                </c:pt>
                <c:pt idx="6">
                  <c:v>0.49163048637146983</c:v>
                </c:pt>
                <c:pt idx="7">
                  <c:v>0.5</c:v>
                </c:pt>
                <c:pt idx="8">
                  <c:v>0.34986010184386357</c:v>
                </c:pt>
                <c:pt idx="9">
                  <c:v>0.39161793505332632</c:v>
                </c:pt>
                <c:pt idx="10">
                  <c:v>0.53556421238140672</c:v>
                </c:pt>
              </c:numCache>
            </c:numRef>
          </c:xVal>
          <c:yVal>
            <c:numRef>
              <c:f>Foglio1!$N$4:$N$14</c:f>
              <c:numCache>
                <c:formatCode>#,##0</c:formatCode>
                <c:ptCount val="11"/>
                <c:pt idx="0" formatCode="#,##0.0">
                  <c:v>20</c:v>
                </c:pt>
                <c:pt idx="1">
                  <c:v>55</c:v>
                </c:pt>
                <c:pt idx="2">
                  <c:v>95</c:v>
                </c:pt>
                <c:pt idx="3">
                  <c:v>54</c:v>
                </c:pt>
                <c:pt idx="4">
                  <c:v>86</c:v>
                </c:pt>
                <c:pt idx="5">
                  <c:v>100</c:v>
                </c:pt>
                <c:pt idx="6">
                  <c:v>118</c:v>
                </c:pt>
                <c:pt idx="7">
                  <c:v>74</c:v>
                </c:pt>
                <c:pt idx="8">
                  <c:v>66</c:v>
                </c:pt>
                <c:pt idx="9">
                  <c:v>106</c:v>
                </c:pt>
                <c:pt idx="10">
                  <c:v>106</c:v>
                </c:pt>
              </c:numCache>
            </c:numRef>
          </c:yVal>
          <c:smooth val="0"/>
        </c:ser>
        <c:dLbls>
          <c:showLegendKey val="0"/>
          <c:showVal val="0"/>
          <c:showCatName val="0"/>
          <c:showSerName val="0"/>
          <c:showPercent val="0"/>
          <c:showBubbleSize val="0"/>
        </c:dLbls>
        <c:axId val="144147848"/>
        <c:axId val="144148232"/>
      </c:scatterChart>
      <c:valAx>
        <c:axId val="144147848"/>
        <c:scaling>
          <c:orientation val="minMax"/>
          <c:min val="0.25"/>
        </c:scaling>
        <c:delete val="0"/>
        <c:axPos val="b"/>
        <c:title>
          <c:tx>
            <c:rich>
              <a:bodyPr/>
              <a:lstStyle/>
              <a:p>
                <a:pPr>
                  <a:defRPr/>
                </a:pPr>
                <a:r>
                  <a:rPr lang="it-IT"/>
                  <a:t>share</a:t>
                </a:r>
                <a:r>
                  <a:rPr lang="it-IT" baseline="0"/>
                  <a:t> of population with high or university degree</a:t>
                </a:r>
                <a:endParaRPr lang="it-IT"/>
              </a:p>
            </c:rich>
          </c:tx>
          <c:layout/>
          <c:overlay val="0"/>
        </c:title>
        <c:numFmt formatCode="0%" sourceLinked="1"/>
        <c:majorTickMark val="out"/>
        <c:minorTickMark val="none"/>
        <c:tickLblPos val="nextTo"/>
        <c:crossAx val="144148232"/>
        <c:crosses val="autoZero"/>
        <c:crossBetween val="midCat"/>
      </c:valAx>
      <c:valAx>
        <c:axId val="144148232"/>
        <c:scaling>
          <c:orientation val="minMax"/>
        </c:scaling>
        <c:delete val="0"/>
        <c:axPos val="l"/>
        <c:majorGridlines/>
        <c:title>
          <c:tx>
            <c:rich>
              <a:bodyPr rot="0" vert="horz"/>
              <a:lstStyle/>
              <a:p>
                <a:pPr>
                  <a:defRPr/>
                </a:pPr>
                <a:r>
                  <a:rPr lang="it-IT"/>
                  <a:t>Unemployment</a:t>
                </a:r>
                <a:r>
                  <a:rPr lang="it-IT" baseline="0"/>
                  <a:t> rate</a:t>
                </a:r>
                <a:endParaRPr lang="it-IT"/>
              </a:p>
            </c:rich>
          </c:tx>
          <c:layout/>
          <c:overlay val="0"/>
        </c:title>
        <c:numFmt formatCode="#,##0.0" sourceLinked="1"/>
        <c:majorTickMark val="out"/>
        <c:minorTickMark val="none"/>
        <c:tickLblPos val="nextTo"/>
        <c:crossAx val="144147848"/>
        <c:crosses val="autoZero"/>
        <c:crossBetween val="midCat"/>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t-IT" sz="1200"/>
              <a:t>small enterprises and unemployment</a:t>
            </a:r>
            <a:r>
              <a:rPr lang="it-IT" baseline="0"/>
              <a:t> </a:t>
            </a:r>
            <a:endParaRPr lang="it-IT"/>
          </a:p>
        </c:rich>
      </c:tx>
      <c:layout/>
      <c:overlay val="1"/>
    </c:title>
    <c:autoTitleDeleted val="0"/>
    <c:plotArea>
      <c:layout>
        <c:manualLayout>
          <c:layoutTarget val="inner"/>
          <c:xMode val="edge"/>
          <c:yMode val="edge"/>
          <c:x val="0.27078274598708663"/>
          <c:y val="0.17488066328157567"/>
          <c:w val="0.65249073942878233"/>
          <c:h val="0.65875732823116762"/>
        </c:manualLayout>
      </c:layout>
      <c:scatterChart>
        <c:scatterStyle val="lineMarker"/>
        <c:varyColors val="0"/>
        <c:ser>
          <c:idx val="0"/>
          <c:order val="0"/>
          <c:spPr>
            <a:ln w="28575">
              <a:noFill/>
            </a:ln>
          </c:spPr>
          <c:trendline>
            <c:trendlineType val="linear"/>
            <c:dispRSqr val="1"/>
            <c:dispEq val="0"/>
            <c:trendlineLbl>
              <c:layout/>
              <c:numFmt formatCode="General" sourceLinked="0"/>
            </c:trendlineLbl>
          </c:trendline>
          <c:xVal>
            <c:numRef>
              <c:f>Foglio1!$N$4:$N$14</c:f>
              <c:numCache>
                <c:formatCode>#,##0</c:formatCode>
                <c:ptCount val="11"/>
                <c:pt idx="0" formatCode="#,##0.0">
                  <c:v>20</c:v>
                </c:pt>
                <c:pt idx="1">
                  <c:v>55</c:v>
                </c:pt>
                <c:pt idx="2">
                  <c:v>95</c:v>
                </c:pt>
                <c:pt idx="3">
                  <c:v>54</c:v>
                </c:pt>
                <c:pt idx="4">
                  <c:v>86</c:v>
                </c:pt>
                <c:pt idx="5">
                  <c:v>100</c:v>
                </c:pt>
                <c:pt idx="6">
                  <c:v>118</c:v>
                </c:pt>
                <c:pt idx="7">
                  <c:v>74</c:v>
                </c:pt>
                <c:pt idx="8">
                  <c:v>66</c:v>
                </c:pt>
                <c:pt idx="9">
                  <c:v>106</c:v>
                </c:pt>
                <c:pt idx="10">
                  <c:v>106</c:v>
                </c:pt>
              </c:numCache>
            </c:numRef>
          </c:xVal>
          <c:yVal>
            <c:numRef>
              <c:f>Foglio1!$O$4:$O$14</c:f>
              <c:numCache>
                <c:formatCode>_(* #,##0.00_);_(* \(#,##0.00\);_(* "-"??_);_(@_)</c:formatCode>
                <c:ptCount val="11"/>
                <c:pt idx="0">
                  <c:v>0.62322614623869865</c:v>
                </c:pt>
                <c:pt idx="1">
                  <c:v>0.34508540863863807</c:v>
                </c:pt>
                <c:pt idx="2">
                  <c:v>0.25999472474471536</c:v>
                </c:pt>
                <c:pt idx="3">
                  <c:v>0.38792032400445936</c:v>
                </c:pt>
                <c:pt idx="4">
                  <c:v>0.27730722626461191</c:v>
                </c:pt>
                <c:pt idx="5">
                  <c:v>0.24465594657865447</c:v>
                </c:pt>
                <c:pt idx="6">
                  <c:v>0.2134186158369358</c:v>
                </c:pt>
                <c:pt idx="7">
                  <c:v>0.36000000000000032</c:v>
                </c:pt>
                <c:pt idx="8">
                  <c:v>0.13964878330997543</c:v>
                </c:pt>
                <c:pt idx="9">
                  <c:v>0.21835402010221699</c:v>
                </c:pt>
                <c:pt idx="10">
                  <c:v>0.29581217713894775</c:v>
                </c:pt>
              </c:numCache>
            </c:numRef>
          </c:yVal>
          <c:smooth val="0"/>
        </c:ser>
        <c:dLbls>
          <c:showLegendKey val="0"/>
          <c:showVal val="0"/>
          <c:showCatName val="0"/>
          <c:showSerName val="0"/>
          <c:showPercent val="0"/>
          <c:showBubbleSize val="0"/>
        </c:dLbls>
        <c:axId val="144754688"/>
        <c:axId val="144755080"/>
      </c:scatterChart>
      <c:valAx>
        <c:axId val="144754688"/>
        <c:scaling>
          <c:orientation val="minMax"/>
          <c:min val="15"/>
        </c:scaling>
        <c:delete val="0"/>
        <c:axPos val="b"/>
        <c:title>
          <c:tx>
            <c:rich>
              <a:bodyPr/>
              <a:lstStyle/>
              <a:p>
                <a:pPr>
                  <a:defRPr/>
                </a:pPr>
                <a:r>
                  <a:rPr lang="it-IT"/>
                  <a:t>Unemployment rate</a:t>
                </a:r>
              </a:p>
            </c:rich>
          </c:tx>
          <c:layout/>
          <c:overlay val="0"/>
        </c:title>
        <c:numFmt formatCode="#,##0.0" sourceLinked="1"/>
        <c:majorTickMark val="out"/>
        <c:minorTickMark val="none"/>
        <c:tickLblPos val="nextTo"/>
        <c:crossAx val="144755080"/>
        <c:crosses val="autoZero"/>
        <c:crossBetween val="midCat"/>
      </c:valAx>
      <c:valAx>
        <c:axId val="144755080"/>
        <c:scaling>
          <c:orientation val="minMax"/>
        </c:scaling>
        <c:delete val="0"/>
        <c:axPos val="l"/>
        <c:majorGridlines/>
        <c:title>
          <c:tx>
            <c:rich>
              <a:bodyPr rot="0" vert="horz"/>
              <a:lstStyle/>
              <a:p>
                <a:pPr>
                  <a:defRPr/>
                </a:pPr>
                <a:r>
                  <a:rPr lang="it-IT"/>
                  <a:t>Small Enterprises</a:t>
                </a:r>
                <a:r>
                  <a:rPr lang="it-IT" baseline="0"/>
                  <a:t> density</a:t>
                </a:r>
                <a:endParaRPr lang="it-IT"/>
              </a:p>
            </c:rich>
          </c:tx>
          <c:layout/>
          <c:overlay val="0"/>
        </c:title>
        <c:numFmt formatCode="_(* #,##0.00_);_(* \(#,##0.00\);_(* &quot;-&quot;??_);_(@_)" sourceLinked="1"/>
        <c:majorTickMark val="out"/>
        <c:minorTickMark val="none"/>
        <c:tickLblPos val="nextTo"/>
        <c:crossAx val="144754688"/>
        <c:crosses val="autoZero"/>
        <c:crossBetween val="midCat"/>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t-IT" sz="1200"/>
              <a:t>Access</a:t>
            </a:r>
            <a:r>
              <a:rPr lang="it-IT" sz="1200" baseline="0"/>
              <a:t> to the health services </a:t>
            </a:r>
            <a:endParaRPr lang="it-IT" sz="1200"/>
          </a:p>
        </c:rich>
      </c:tx>
      <c:layout/>
      <c:overlay val="0"/>
    </c:title>
    <c:autoTitleDeleted val="0"/>
    <c:plotArea>
      <c:layout>
        <c:manualLayout>
          <c:layoutTarget val="inner"/>
          <c:xMode val="edge"/>
          <c:yMode val="edge"/>
          <c:x val="0.20617879754278026"/>
          <c:y val="0.14814814814814847"/>
          <c:w val="0.52204216408432758"/>
          <c:h val="0.73587197433654306"/>
        </c:manualLayout>
      </c:layout>
      <c:barChart>
        <c:barDir val="bar"/>
        <c:grouping val="clustered"/>
        <c:varyColors val="0"/>
        <c:ser>
          <c:idx val="0"/>
          <c:order val="0"/>
          <c:tx>
            <c:strRef>
              <c:f>Foglio1!$AC$4</c:f>
              <c:strCache>
                <c:ptCount val="1"/>
                <c:pt idx="0">
                  <c:v>Older 65 </c:v>
                </c:pt>
              </c:strCache>
            </c:strRef>
          </c:tx>
          <c:invertIfNegative val="0"/>
          <c:cat>
            <c:strRef>
              <c:f>Foglio1!$AB$5:$AB$15</c:f>
              <c:strCache>
                <c:ptCount val="11"/>
                <c:pt idx="0">
                  <c:v>Timiş</c:v>
                </c:pt>
                <c:pt idx="1">
                  <c:v>Caraş-Severin</c:v>
                </c:pt>
                <c:pt idx="2">
                  <c:v>Mehedinţi</c:v>
                </c:pt>
                <c:pt idx="3">
                  <c:v>ROMANIA</c:v>
                </c:pt>
                <c:pt idx="4">
                  <c:v>Severno-Banatski</c:v>
                </c:pt>
                <c:pt idx="5">
                  <c:v>Srednje-Banatski</c:v>
                </c:pt>
                <c:pt idx="6">
                  <c:v>Južno-Banatski</c:v>
                </c:pt>
                <c:pt idx="7">
                  <c:v>Podunavski</c:v>
                </c:pt>
                <c:pt idx="8">
                  <c:v>Braničevski</c:v>
                </c:pt>
                <c:pt idx="9">
                  <c:v>Borski</c:v>
                </c:pt>
                <c:pt idx="10">
                  <c:v>SERBIA</c:v>
                </c:pt>
              </c:strCache>
            </c:strRef>
          </c:cat>
          <c:val>
            <c:numRef>
              <c:f>Foglio1!$AC$5:$AC$15</c:f>
              <c:numCache>
                <c:formatCode>_(* #,##0.00_);_(* \(#,##0.00\);_(* "-"??_);_(@_)</c:formatCode>
                <c:ptCount val="11"/>
                <c:pt idx="0">
                  <c:v>2.400537801056227</c:v>
                </c:pt>
                <c:pt idx="1">
                  <c:v>0.72631488941230749</c:v>
                </c:pt>
                <c:pt idx="2">
                  <c:v>0.61284822627119406</c:v>
                </c:pt>
                <c:pt idx="3">
                  <c:v>1.1648355056691939</c:v>
                </c:pt>
                <c:pt idx="4">
                  <c:v>0.80014650824475242</c:v>
                </c:pt>
                <c:pt idx="5">
                  <c:v>0.75968238385926457</c:v>
                </c:pt>
                <c:pt idx="6">
                  <c:v>0.93902014393889732</c:v>
                </c:pt>
                <c:pt idx="7">
                  <c:v>0.81619177083278194</c:v>
                </c:pt>
                <c:pt idx="8">
                  <c:v>0.70621296159725111</c:v>
                </c:pt>
                <c:pt idx="9">
                  <c:v>1.0412250698525201</c:v>
                </c:pt>
                <c:pt idx="10">
                  <c:v>1.0329847392656151</c:v>
                </c:pt>
              </c:numCache>
            </c:numRef>
          </c:val>
        </c:ser>
        <c:ser>
          <c:idx val="1"/>
          <c:order val="1"/>
          <c:tx>
            <c:strRef>
              <c:f>Foglio1!$AD$4</c:f>
              <c:strCache>
                <c:ptCount val="1"/>
                <c:pt idx="0">
                  <c:v>Total inhabitants</c:v>
                </c:pt>
              </c:strCache>
            </c:strRef>
          </c:tx>
          <c:invertIfNegative val="0"/>
          <c:cat>
            <c:strRef>
              <c:f>Foglio1!$AB$5:$AB$15</c:f>
              <c:strCache>
                <c:ptCount val="11"/>
                <c:pt idx="0">
                  <c:v>Timiş</c:v>
                </c:pt>
                <c:pt idx="1">
                  <c:v>Caraş-Severin</c:v>
                </c:pt>
                <c:pt idx="2">
                  <c:v>Mehedinţi</c:v>
                </c:pt>
                <c:pt idx="3">
                  <c:v>ROMANIA</c:v>
                </c:pt>
                <c:pt idx="4">
                  <c:v>Severno-Banatski</c:v>
                </c:pt>
                <c:pt idx="5">
                  <c:v>Srednje-Banatski</c:v>
                </c:pt>
                <c:pt idx="6">
                  <c:v>Južno-Banatski</c:v>
                </c:pt>
                <c:pt idx="7">
                  <c:v>Podunavski</c:v>
                </c:pt>
                <c:pt idx="8">
                  <c:v>Braničevski</c:v>
                </c:pt>
                <c:pt idx="9">
                  <c:v>Borski</c:v>
                </c:pt>
                <c:pt idx="10">
                  <c:v>SERBIA</c:v>
                </c:pt>
              </c:strCache>
            </c:strRef>
          </c:cat>
          <c:val>
            <c:numRef>
              <c:f>Foglio1!$AD$5:$AD$15</c:f>
              <c:numCache>
                <c:formatCode>_(* #,##0.00_);_(* \(#,##0.00\);_(* "-"??_);_(@_)</c:formatCode>
                <c:ptCount val="11"/>
                <c:pt idx="0">
                  <c:v>2.0568857298444168</c:v>
                </c:pt>
                <c:pt idx="1">
                  <c:v>0.78854148676335267</c:v>
                </c:pt>
                <c:pt idx="2">
                  <c:v>0.69514985634946003</c:v>
                </c:pt>
                <c:pt idx="3">
                  <c:v>0.96600945075401179</c:v>
                </c:pt>
                <c:pt idx="4">
                  <c:v>0.81447090064953265</c:v>
                </c:pt>
                <c:pt idx="5">
                  <c:v>0.75424906998361785</c:v>
                </c:pt>
                <c:pt idx="6">
                  <c:v>0.93370033086143089</c:v>
                </c:pt>
                <c:pt idx="7">
                  <c:v>0.87304852897697505</c:v>
                </c:pt>
                <c:pt idx="8">
                  <c:v>0.8866204618453335</c:v>
                </c:pt>
                <c:pt idx="9">
                  <c:v>1.121374447332053</c:v>
                </c:pt>
                <c:pt idx="10">
                  <c:v>1.1099497366398168</c:v>
                </c:pt>
              </c:numCache>
            </c:numRef>
          </c:val>
        </c:ser>
        <c:dLbls>
          <c:showLegendKey val="0"/>
          <c:showVal val="0"/>
          <c:showCatName val="0"/>
          <c:showSerName val="0"/>
          <c:showPercent val="0"/>
          <c:showBubbleSize val="0"/>
        </c:dLbls>
        <c:gapWidth val="150"/>
        <c:axId val="144755864"/>
        <c:axId val="144756256"/>
      </c:barChart>
      <c:catAx>
        <c:axId val="144755864"/>
        <c:scaling>
          <c:orientation val="minMax"/>
        </c:scaling>
        <c:delete val="0"/>
        <c:axPos val="l"/>
        <c:numFmt formatCode="General" sourceLinked="0"/>
        <c:majorTickMark val="out"/>
        <c:minorTickMark val="none"/>
        <c:tickLblPos val="nextTo"/>
        <c:crossAx val="144756256"/>
        <c:crosses val="autoZero"/>
        <c:auto val="1"/>
        <c:lblAlgn val="ctr"/>
        <c:lblOffset val="100"/>
        <c:noMultiLvlLbl val="0"/>
      </c:catAx>
      <c:valAx>
        <c:axId val="144756256"/>
        <c:scaling>
          <c:orientation val="minMax"/>
        </c:scaling>
        <c:delete val="0"/>
        <c:axPos val="b"/>
        <c:majorGridlines/>
        <c:numFmt formatCode="_(* #,##0.00_);_(* \(#,##0.00\);_(* &quot;-&quot;??_);_(@_)" sourceLinked="1"/>
        <c:majorTickMark val="out"/>
        <c:minorTickMark val="none"/>
        <c:tickLblPos val="nextTo"/>
        <c:crossAx val="14475586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Access to  water </a:t>
            </a:r>
            <a:r>
              <a:rPr lang="it-IT" sz="1200" baseline="0"/>
              <a:t>  network</a:t>
            </a:r>
            <a:r>
              <a:rPr lang="it-IT" sz="1200"/>
              <a:t> </a:t>
            </a:r>
          </a:p>
        </c:rich>
      </c:tx>
      <c:layout>
        <c:manualLayout>
          <c:xMode val="edge"/>
          <c:yMode val="edge"/>
          <c:x val="0.34543086802448864"/>
          <c:y val="6.5888605173642784E-2"/>
        </c:manualLayout>
      </c:layout>
      <c:overlay val="1"/>
    </c:title>
    <c:autoTitleDeleted val="0"/>
    <c:plotArea>
      <c:layout>
        <c:manualLayout>
          <c:layoutTarget val="inner"/>
          <c:xMode val="edge"/>
          <c:yMode val="edge"/>
          <c:x val="0.25251696031981108"/>
          <c:y val="0.16440944066417418"/>
          <c:w val="0.65258749078273859"/>
          <c:h val="0.67863639234510709"/>
        </c:manualLayout>
      </c:layout>
      <c:barChart>
        <c:barDir val="bar"/>
        <c:grouping val="clustered"/>
        <c:varyColors val="0"/>
        <c:ser>
          <c:idx val="1"/>
          <c:order val="0"/>
          <c:spPr>
            <a:solidFill>
              <a:schemeClr val="tx2">
                <a:lumMod val="60000"/>
                <a:lumOff val="40000"/>
              </a:schemeClr>
            </a:solidFill>
          </c:spPr>
          <c:invertIfNegative val="0"/>
          <c:dPt>
            <c:idx val="3"/>
            <c:invertIfNegative val="0"/>
            <c:bubble3D val="0"/>
            <c:spPr>
              <a:gradFill>
                <a:gsLst>
                  <a:gs pos="0">
                    <a:schemeClr val="tx2">
                      <a:lumMod val="40000"/>
                      <a:lumOff val="60000"/>
                    </a:schemeClr>
                  </a:gs>
                  <a:gs pos="50000">
                    <a:srgbClr val="4F81BD">
                      <a:tint val="44500"/>
                      <a:satMod val="160000"/>
                    </a:srgbClr>
                  </a:gs>
                  <a:gs pos="100000">
                    <a:srgbClr val="4F81BD">
                      <a:tint val="23500"/>
                      <a:satMod val="160000"/>
                    </a:srgbClr>
                  </a:gs>
                </a:gsLst>
                <a:lin ang="5400000" scaled="0"/>
              </a:gradFill>
            </c:spPr>
          </c:dPt>
          <c:dPt>
            <c:idx val="9"/>
            <c:invertIfNegative val="0"/>
            <c:bubble3D val="0"/>
            <c:spPr>
              <a:gradFill>
                <a:gsLst>
                  <a:gs pos="0">
                    <a:schemeClr val="tx2">
                      <a:lumMod val="40000"/>
                      <a:lumOff val="60000"/>
                    </a:schemeClr>
                  </a:gs>
                  <a:gs pos="50000">
                    <a:srgbClr val="4F81BD">
                      <a:tint val="44500"/>
                      <a:satMod val="160000"/>
                    </a:srgbClr>
                  </a:gs>
                  <a:gs pos="100000">
                    <a:srgbClr val="4F81BD">
                      <a:tint val="23500"/>
                      <a:satMod val="160000"/>
                    </a:srgbClr>
                  </a:gs>
                </a:gsLst>
                <a:lin ang="5400000" scaled="0"/>
              </a:gradFill>
            </c:spPr>
          </c:dPt>
          <c:cat>
            <c:strRef>
              <c:f>data!$B$4:$B$14</c:f>
              <c:strCache>
                <c:ptCount val="11"/>
                <c:pt idx="0">
                  <c:v>Timiş</c:v>
                </c:pt>
                <c:pt idx="1">
                  <c:v>Caraş-Severin</c:v>
                </c:pt>
                <c:pt idx="2">
                  <c:v>Mehedinţi</c:v>
                </c:pt>
                <c:pt idx="3">
                  <c:v>ROMANIA</c:v>
                </c:pt>
                <c:pt idx="4">
                  <c:v>North Banatski</c:v>
                </c:pt>
                <c:pt idx="5">
                  <c:v>Centre Banatski</c:v>
                </c:pt>
                <c:pt idx="6">
                  <c:v>South Banatski</c:v>
                </c:pt>
                <c:pt idx="7">
                  <c:v>Podunavski</c:v>
                </c:pt>
                <c:pt idx="8">
                  <c:v>Braničevski</c:v>
                </c:pt>
                <c:pt idx="9">
                  <c:v>Borski</c:v>
                </c:pt>
                <c:pt idx="10">
                  <c:v>SERBIA</c:v>
                </c:pt>
              </c:strCache>
            </c:strRef>
          </c:cat>
          <c:val>
            <c:numRef>
              <c:f>data!$P$4:$P$14</c:f>
              <c:numCache>
                <c:formatCode>General</c:formatCode>
                <c:ptCount val="11"/>
                <c:pt idx="0">
                  <c:v>96</c:v>
                </c:pt>
                <c:pt idx="1">
                  <c:v>80</c:v>
                </c:pt>
                <c:pt idx="2">
                  <c:v>80</c:v>
                </c:pt>
                <c:pt idx="3">
                  <c:v>85</c:v>
                </c:pt>
                <c:pt idx="4" formatCode="0">
                  <c:v>111.96842390200987</c:v>
                </c:pt>
                <c:pt idx="5" formatCode="0">
                  <c:v>105.24360702734114</c:v>
                </c:pt>
                <c:pt idx="6" formatCode="0">
                  <c:v>91.46914513328565</c:v>
                </c:pt>
                <c:pt idx="7" formatCode="0">
                  <c:v>62.476190476190474</c:v>
                </c:pt>
                <c:pt idx="8" formatCode="0">
                  <c:v>65.109565690946226</c:v>
                </c:pt>
                <c:pt idx="9" formatCode="0">
                  <c:v>106.99769585253455</c:v>
                </c:pt>
                <c:pt idx="10" formatCode="0">
                  <c:v>86.868208591550925</c:v>
                </c:pt>
              </c:numCache>
            </c:numRef>
          </c:val>
        </c:ser>
        <c:dLbls>
          <c:showLegendKey val="0"/>
          <c:showVal val="0"/>
          <c:showCatName val="0"/>
          <c:showSerName val="0"/>
          <c:showPercent val="0"/>
          <c:showBubbleSize val="0"/>
        </c:dLbls>
        <c:gapWidth val="150"/>
        <c:axId val="144757040"/>
        <c:axId val="144757432"/>
      </c:barChart>
      <c:catAx>
        <c:axId val="144757040"/>
        <c:scaling>
          <c:orientation val="minMax"/>
        </c:scaling>
        <c:delete val="0"/>
        <c:axPos val="l"/>
        <c:numFmt formatCode="General" sourceLinked="0"/>
        <c:majorTickMark val="out"/>
        <c:minorTickMark val="none"/>
        <c:tickLblPos val="nextTo"/>
        <c:crossAx val="144757432"/>
        <c:crosses val="autoZero"/>
        <c:auto val="1"/>
        <c:lblAlgn val="ctr"/>
        <c:lblOffset val="100"/>
        <c:noMultiLvlLbl val="0"/>
      </c:catAx>
      <c:valAx>
        <c:axId val="144757432"/>
        <c:scaling>
          <c:orientation val="minMax"/>
          <c:max val="100"/>
        </c:scaling>
        <c:delete val="0"/>
        <c:axPos val="b"/>
        <c:majorGridlines/>
        <c:title>
          <c:tx>
            <c:rich>
              <a:bodyPr/>
              <a:lstStyle/>
              <a:p>
                <a:pPr>
                  <a:defRPr/>
                </a:pPr>
                <a:r>
                  <a:rPr lang="it-IT"/>
                  <a:t>% Households having access to water </a:t>
                </a:r>
                <a:r>
                  <a:rPr lang="it-IT" baseline="0"/>
                  <a:t>network</a:t>
                </a:r>
                <a:endParaRPr lang="it-IT"/>
              </a:p>
            </c:rich>
          </c:tx>
          <c:layout/>
          <c:overlay val="0"/>
        </c:title>
        <c:numFmt formatCode="General" sourceLinked="1"/>
        <c:majorTickMark val="out"/>
        <c:minorTickMark val="none"/>
        <c:tickLblPos val="nextTo"/>
        <c:crossAx val="144757040"/>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Access to  sewage  utility</a:t>
            </a:r>
            <a:r>
              <a:rPr lang="it-IT" sz="1200" baseline="0"/>
              <a:t> network</a:t>
            </a:r>
            <a:r>
              <a:rPr lang="it-IT" sz="1200"/>
              <a:t> </a:t>
            </a:r>
          </a:p>
        </c:rich>
      </c:tx>
      <c:layout/>
      <c:overlay val="1"/>
    </c:title>
    <c:autoTitleDeleted val="0"/>
    <c:plotArea>
      <c:layout>
        <c:manualLayout>
          <c:layoutTarget val="inner"/>
          <c:xMode val="edge"/>
          <c:yMode val="edge"/>
          <c:x val="0.25251696031981086"/>
          <c:y val="0.16440944066417407"/>
          <c:w val="0.65258749078273859"/>
          <c:h val="0.67863639234510675"/>
        </c:manualLayout>
      </c:layout>
      <c:barChart>
        <c:barDir val="bar"/>
        <c:grouping val="clustered"/>
        <c:varyColors val="0"/>
        <c:ser>
          <c:idx val="0"/>
          <c:order val="0"/>
          <c:spPr>
            <a:solidFill>
              <a:schemeClr val="bg2">
                <a:lumMod val="50000"/>
              </a:schemeClr>
            </a:solidFill>
          </c:spPr>
          <c:invertIfNegative val="0"/>
          <c:dPt>
            <c:idx val="3"/>
            <c:invertIfNegative val="0"/>
            <c:bubble3D val="0"/>
            <c:spPr>
              <a:solidFill>
                <a:schemeClr val="bg2">
                  <a:lumMod val="75000"/>
                </a:schemeClr>
              </a:solidFill>
            </c:spPr>
          </c:dPt>
          <c:dPt>
            <c:idx val="9"/>
            <c:invertIfNegative val="0"/>
            <c:bubble3D val="0"/>
            <c:spPr>
              <a:solidFill>
                <a:schemeClr val="bg2">
                  <a:lumMod val="75000"/>
                </a:schemeClr>
              </a:solidFill>
            </c:spPr>
          </c:dPt>
          <c:cat>
            <c:strRef>
              <c:f>data!$B$4:$B$14</c:f>
              <c:strCache>
                <c:ptCount val="11"/>
                <c:pt idx="0">
                  <c:v>Timiş</c:v>
                </c:pt>
                <c:pt idx="1">
                  <c:v>Caraş-Severin</c:v>
                </c:pt>
                <c:pt idx="2">
                  <c:v>Mehedinţi</c:v>
                </c:pt>
                <c:pt idx="3">
                  <c:v>ROMANIA</c:v>
                </c:pt>
                <c:pt idx="4">
                  <c:v>North Banatski</c:v>
                </c:pt>
                <c:pt idx="5">
                  <c:v>Centre Banatski</c:v>
                </c:pt>
                <c:pt idx="6">
                  <c:v>South Banatski</c:v>
                </c:pt>
                <c:pt idx="7">
                  <c:v>Podunavski</c:v>
                </c:pt>
                <c:pt idx="8">
                  <c:v>Braničevski</c:v>
                </c:pt>
                <c:pt idx="9">
                  <c:v>Borski</c:v>
                </c:pt>
                <c:pt idx="10">
                  <c:v>SERBIA</c:v>
                </c:pt>
              </c:strCache>
            </c:strRef>
          </c:cat>
          <c:val>
            <c:numRef>
              <c:f>data!$Q$4:$Q$14</c:f>
              <c:numCache>
                <c:formatCode>General</c:formatCode>
                <c:ptCount val="11"/>
                <c:pt idx="0">
                  <c:v>70</c:v>
                </c:pt>
                <c:pt idx="1">
                  <c:v>68</c:v>
                </c:pt>
                <c:pt idx="2">
                  <c:v>57</c:v>
                </c:pt>
                <c:pt idx="3">
                  <c:v>60</c:v>
                </c:pt>
                <c:pt idx="4" formatCode="0">
                  <c:v>40.201502334709467</c:v>
                </c:pt>
                <c:pt idx="5" formatCode="0">
                  <c:v>44.8496539082523</c:v>
                </c:pt>
                <c:pt idx="6" formatCode="0">
                  <c:v>50.236502910836563</c:v>
                </c:pt>
                <c:pt idx="7" formatCode="0">
                  <c:v>45.135093658316322</c:v>
                </c:pt>
                <c:pt idx="8" formatCode="0">
                  <c:v>36.523654186521462</c:v>
                </c:pt>
                <c:pt idx="9" formatCode="0">
                  <c:v>70.119815668202975</c:v>
                </c:pt>
                <c:pt idx="10" formatCode="0">
                  <c:v>57.055749338997039</c:v>
                </c:pt>
              </c:numCache>
            </c:numRef>
          </c:val>
        </c:ser>
        <c:dLbls>
          <c:showLegendKey val="0"/>
          <c:showVal val="0"/>
          <c:showCatName val="0"/>
          <c:showSerName val="0"/>
          <c:showPercent val="0"/>
          <c:showBubbleSize val="0"/>
        </c:dLbls>
        <c:gapWidth val="150"/>
        <c:axId val="144758216"/>
        <c:axId val="144758608"/>
      </c:barChart>
      <c:catAx>
        <c:axId val="144758216"/>
        <c:scaling>
          <c:orientation val="minMax"/>
        </c:scaling>
        <c:delete val="0"/>
        <c:axPos val="l"/>
        <c:numFmt formatCode="General" sourceLinked="0"/>
        <c:majorTickMark val="out"/>
        <c:minorTickMark val="none"/>
        <c:tickLblPos val="nextTo"/>
        <c:crossAx val="144758608"/>
        <c:crosses val="autoZero"/>
        <c:auto val="1"/>
        <c:lblAlgn val="ctr"/>
        <c:lblOffset val="100"/>
        <c:noMultiLvlLbl val="0"/>
      </c:catAx>
      <c:valAx>
        <c:axId val="144758608"/>
        <c:scaling>
          <c:orientation val="minMax"/>
          <c:max val="100"/>
        </c:scaling>
        <c:delete val="0"/>
        <c:axPos val="b"/>
        <c:majorGridlines/>
        <c:title>
          <c:tx>
            <c:rich>
              <a:bodyPr/>
              <a:lstStyle/>
              <a:p>
                <a:pPr>
                  <a:defRPr/>
                </a:pPr>
                <a:r>
                  <a:rPr lang="it-IT"/>
                  <a:t>% Households having access to sewage</a:t>
                </a:r>
                <a:r>
                  <a:rPr lang="it-IT" baseline="0"/>
                  <a:t> network</a:t>
                </a:r>
                <a:endParaRPr lang="it-IT"/>
              </a:p>
            </c:rich>
          </c:tx>
          <c:layout/>
          <c:overlay val="0"/>
        </c:title>
        <c:numFmt formatCode="General" sourceLinked="1"/>
        <c:majorTickMark val="out"/>
        <c:minorTickMark val="none"/>
        <c:tickLblPos val="nextTo"/>
        <c:crossAx val="144758216"/>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Total number of tourist</a:t>
            </a:r>
            <a:r>
              <a:rPr lang="it-IT" sz="1200" baseline="0"/>
              <a:t>s </a:t>
            </a:r>
            <a:r>
              <a:rPr lang="it-IT" sz="1200"/>
              <a:t>arrivals</a:t>
            </a:r>
            <a:r>
              <a:rPr lang="it-IT" sz="1200" baseline="0"/>
              <a:t> </a:t>
            </a:r>
          </a:p>
        </c:rich>
      </c:tx>
      <c:layout/>
      <c:overlay val="0"/>
    </c:title>
    <c:autoTitleDeleted val="0"/>
    <c:plotArea>
      <c:layout/>
      <c:lineChart>
        <c:grouping val="standard"/>
        <c:varyColors val="0"/>
        <c:ser>
          <c:idx val="0"/>
          <c:order val="0"/>
          <c:tx>
            <c:strRef>
              <c:f>Foglio1!$I$42</c:f>
              <c:strCache>
                <c:ptCount val="1"/>
                <c:pt idx="0">
                  <c:v>Timiş</c:v>
                </c:pt>
              </c:strCache>
            </c:strRef>
          </c:tx>
          <c:cat>
            <c:numRef>
              <c:f>Foglio1!$J$41:$O$41</c:f>
              <c:numCache>
                <c:formatCode>0_ ;\-0\ </c:formatCode>
                <c:ptCount val="6"/>
                <c:pt idx="0">
                  <c:v>2007</c:v>
                </c:pt>
                <c:pt idx="1">
                  <c:v>2008</c:v>
                </c:pt>
                <c:pt idx="2">
                  <c:v>2009</c:v>
                </c:pt>
                <c:pt idx="3">
                  <c:v>2010</c:v>
                </c:pt>
                <c:pt idx="4">
                  <c:v>2011</c:v>
                </c:pt>
                <c:pt idx="5">
                  <c:v>2012</c:v>
                </c:pt>
              </c:numCache>
            </c:numRef>
          </c:cat>
          <c:val>
            <c:numRef>
              <c:f>Foglio1!$J$42:$O$42</c:f>
              <c:numCache>
                <c:formatCode>#,##0.0</c:formatCode>
                <c:ptCount val="6"/>
                <c:pt idx="0" formatCode="General">
                  <c:v>283400</c:v>
                </c:pt>
                <c:pt idx="1">
                  <c:v>281800</c:v>
                </c:pt>
                <c:pt idx="2">
                  <c:v>225600</c:v>
                </c:pt>
                <c:pt idx="3">
                  <c:v>216200</c:v>
                </c:pt>
                <c:pt idx="4">
                  <c:v>260400</c:v>
                </c:pt>
                <c:pt idx="5">
                  <c:v>281200</c:v>
                </c:pt>
              </c:numCache>
            </c:numRef>
          </c:val>
          <c:smooth val="0"/>
        </c:ser>
        <c:ser>
          <c:idx val="1"/>
          <c:order val="1"/>
          <c:tx>
            <c:strRef>
              <c:f>Foglio1!$I$43</c:f>
              <c:strCache>
                <c:ptCount val="1"/>
                <c:pt idx="0">
                  <c:v>Caraş-Severin</c:v>
                </c:pt>
              </c:strCache>
            </c:strRef>
          </c:tx>
          <c:cat>
            <c:numRef>
              <c:f>Foglio1!$J$41:$O$41</c:f>
              <c:numCache>
                <c:formatCode>0_ ;\-0\ </c:formatCode>
                <c:ptCount val="6"/>
                <c:pt idx="0">
                  <c:v>2007</c:v>
                </c:pt>
                <c:pt idx="1">
                  <c:v>2008</c:v>
                </c:pt>
                <c:pt idx="2">
                  <c:v>2009</c:v>
                </c:pt>
                <c:pt idx="3">
                  <c:v>2010</c:v>
                </c:pt>
                <c:pt idx="4">
                  <c:v>2011</c:v>
                </c:pt>
                <c:pt idx="5">
                  <c:v>2012</c:v>
                </c:pt>
              </c:numCache>
            </c:numRef>
          </c:cat>
          <c:val>
            <c:numRef>
              <c:f>Foglio1!$J$43:$O$43</c:f>
              <c:numCache>
                <c:formatCode>#,##0.0</c:formatCode>
                <c:ptCount val="6"/>
                <c:pt idx="0" formatCode="General">
                  <c:v>100800</c:v>
                </c:pt>
                <c:pt idx="1">
                  <c:v>104300</c:v>
                </c:pt>
                <c:pt idx="2">
                  <c:v>94100</c:v>
                </c:pt>
                <c:pt idx="3">
                  <c:v>92800</c:v>
                </c:pt>
                <c:pt idx="4">
                  <c:v>106900</c:v>
                </c:pt>
                <c:pt idx="5">
                  <c:v>109900</c:v>
                </c:pt>
              </c:numCache>
            </c:numRef>
          </c:val>
          <c:smooth val="0"/>
        </c:ser>
        <c:ser>
          <c:idx val="2"/>
          <c:order val="2"/>
          <c:tx>
            <c:strRef>
              <c:f>Foglio1!$I$44</c:f>
              <c:strCache>
                <c:ptCount val="1"/>
                <c:pt idx="0">
                  <c:v>Mehedinţi</c:v>
                </c:pt>
              </c:strCache>
            </c:strRef>
          </c:tx>
          <c:cat>
            <c:numRef>
              <c:f>Foglio1!$J$41:$O$41</c:f>
              <c:numCache>
                <c:formatCode>0_ ;\-0\ </c:formatCode>
                <c:ptCount val="6"/>
                <c:pt idx="0">
                  <c:v>2007</c:v>
                </c:pt>
                <c:pt idx="1">
                  <c:v>2008</c:v>
                </c:pt>
                <c:pt idx="2">
                  <c:v>2009</c:v>
                </c:pt>
                <c:pt idx="3">
                  <c:v>2010</c:v>
                </c:pt>
                <c:pt idx="4">
                  <c:v>2011</c:v>
                </c:pt>
                <c:pt idx="5">
                  <c:v>2012</c:v>
                </c:pt>
              </c:numCache>
            </c:numRef>
          </c:cat>
          <c:val>
            <c:numRef>
              <c:f>Foglio1!$J$44:$O$44</c:f>
              <c:numCache>
                <c:formatCode>#,##0.0</c:formatCode>
                <c:ptCount val="6"/>
                <c:pt idx="0" formatCode="General">
                  <c:v>48500</c:v>
                </c:pt>
                <c:pt idx="1">
                  <c:v>57600</c:v>
                </c:pt>
                <c:pt idx="2">
                  <c:v>54100</c:v>
                </c:pt>
                <c:pt idx="3">
                  <c:v>54900</c:v>
                </c:pt>
                <c:pt idx="4">
                  <c:v>54700</c:v>
                </c:pt>
                <c:pt idx="5">
                  <c:v>53700</c:v>
                </c:pt>
              </c:numCache>
            </c:numRef>
          </c:val>
          <c:smooth val="0"/>
        </c:ser>
        <c:ser>
          <c:idx val="3"/>
          <c:order val="3"/>
          <c:tx>
            <c:strRef>
              <c:f>Foglio1!$I$45</c:f>
              <c:strCache>
                <c:ptCount val="1"/>
                <c:pt idx="0">
                  <c:v>Severno-Banatski</c:v>
                </c:pt>
              </c:strCache>
            </c:strRef>
          </c:tx>
          <c:cat>
            <c:numRef>
              <c:f>Foglio1!$J$41:$O$41</c:f>
              <c:numCache>
                <c:formatCode>0_ ;\-0\ </c:formatCode>
                <c:ptCount val="6"/>
                <c:pt idx="0">
                  <c:v>2007</c:v>
                </c:pt>
                <c:pt idx="1">
                  <c:v>2008</c:v>
                </c:pt>
                <c:pt idx="2">
                  <c:v>2009</c:v>
                </c:pt>
                <c:pt idx="3">
                  <c:v>2010</c:v>
                </c:pt>
                <c:pt idx="4">
                  <c:v>2011</c:v>
                </c:pt>
                <c:pt idx="5">
                  <c:v>2012</c:v>
                </c:pt>
              </c:numCache>
            </c:numRef>
          </c:cat>
          <c:val>
            <c:numRef>
              <c:f>Foglio1!$J$45:$O$45</c:f>
              <c:numCache>
                <c:formatCode>General</c:formatCode>
                <c:ptCount val="6"/>
                <c:pt idx="3" formatCode="0">
                  <c:v>25279</c:v>
                </c:pt>
                <c:pt idx="4">
                  <c:v>20862</c:v>
                </c:pt>
                <c:pt idx="5" formatCode="0">
                  <c:v>17010</c:v>
                </c:pt>
              </c:numCache>
            </c:numRef>
          </c:val>
          <c:smooth val="0"/>
        </c:ser>
        <c:ser>
          <c:idx val="4"/>
          <c:order val="4"/>
          <c:tx>
            <c:strRef>
              <c:f>Foglio1!$I$46</c:f>
              <c:strCache>
                <c:ptCount val="1"/>
                <c:pt idx="0">
                  <c:v>Srednje-Banatski</c:v>
                </c:pt>
              </c:strCache>
            </c:strRef>
          </c:tx>
          <c:cat>
            <c:numRef>
              <c:f>Foglio1!$J$41:$O$41</c:f>
              <c:numCache>
                <c:formatCode>0_ ;\-0\ </c:formatCode>
                <c:ptCount val="6"/>
                <c:pt idx="0">
                  <c:v>2007</c:v>
                </c:pt>
                <c:pt idx="1">
                  <c:v>2008</c:v>
                </c:pt>
                <c:pt idx="2">
                  <c:v>2009</c:v>
                </c:pt>
                <c:pt idx="3">
                  <c:v>2010</c:v>
                </c:pt>
                <c:pt idx="4">
                  <c:v>2011</c:v>
                </c:pt>
                <c:pt idx="5">
                  <c:v>2012</c:v>
                </c:pt>
              </c:numCache>
            </c:numRef>
          </c:cat>
          <c:val>
            <c:numRef>
              <c:f>Foglio1!$J$46:$O$46</c:f>
              <c:numCache>
                <c:formatCode>General</c:formatCode>
                <c:ptCount val="6"/>
                <c:pt idx="3" formatCode="0">
                  <c:v>21136</c:v>
                </c:pt>
                <c:pt idx="4">
                  <c:v>19737</c:v>
                </c:pt>
                <c:pt idx="5" formatCode="0">
                  <c:v>21113</c:v>
                </c:pt>
              </c:numCache>
            </c:numRef>
          </c:val>
          <c:smooth val="0"/>
        </c:ser>
        <c:ser>
          <c:idx val="5"/>
          <c:order val="5"/>
          <c:tx>
            <c:strRef>
              <c:f>Foglio1!$I$47</c:f>
              <c:strCache>
                <c:ptCount val="1"/>
                <c:pt idx="0">
                  <c:v>Južno-Banatski</c:v>
                </c:pt>
              </c:strCache>
            </c:strRef>
          </c:tx>
          <c:cat>
            <c:numRef>
              <c:f>Foglio1!$J$41:$O$41</c:f>
              <c:numCache>
                <c:formatCode>0_ ;\-0\ </c:formatCode>
                <c:ptCount val="6"/>
                <c:pt idx="0">
                  <c:v>2007</c:v>
                </c:pt>
                <c:pt idx="1">
                  <c:v>2008</c:v>
                </c:pt>
                <c:pt idx="2">
                  <c:v>2009</c:v>
                </c:pt>
                <c:pt idx="3">
                  <c:v>2010</c:v>
                </c:pt>
                <c:pt idx="4">
                  <c:v>2011</c:v>
                </c:pt>
                <c:pt idx="5">
                  <c:v>2012</c:v>
                </c:pt>
              </c:numCache>
            </c:numRef>
          </c:cat>
          <c:val>
            <c:numRef>
              <c:f>Foglio1!$J$47:$O$47</c:f>
              <c:numCache>
                <c:formatCode>General</c:formatCode>
                <c:ptCount val="6"/>
                <c:pt idx="3" formatCode="0">
                  <c:v>23195</c:v>
                </c:pt>
                <c:pt idx="4">
                  <c:v>22061</c:v>
                </c:pt>
                <c:pt idx="5" formatCode="0">
                  <c:v>21901</c:v>
                </c:pt>
              </c:numCache>
            </c:numRef>
          </c:val>
          <c:smooth val="0"/>
        </c:ser>
        <c:ser>
          <c:idx val="6"/>
          <c:order val="6"/>
          <c:tx>
            <c:strRef>
              <c:f>Foglio1!$I$48</c:f>
              <c:strCache>
                <c:ptCount val="1"/>
                <c:pt idx="0">
                  <c:v>Podunavski</c:v>
                </c:pt>
              </c:strCache>
            </c:strRef>
          </c:tx>
          <c:cat>
            <c:numRef>
              <c:f>Foglio1!$J$41:$O$41</c:f>
              <c:numCache>
                <c:formatCode>0_ ;\-0\ </c:formatCode>
                <c:ptCount val="6"/>
                <c:pt idx="0">
                  <c:v>2007</c:v>
                </c:pt>
                <c:pt idx="1">
                  <c:v>2008</c:v>
                </c:pt>
                <c:pt idx="2">
                  <c:v>2009</c:v>
                </c:pt>
                <c:pt idx="3">
                  <c:v>2010</c:v>
                </c:pt>
                <c:pt idx="4">
                  <c:v>2011</c:v>
                </c:pt>
                <c:pt idx="5">
                  <c:v>2012</c:v>
                </c:pt>
              </c:numCache>
            </c:numRef>
          </c:cat>
          <c:val>
            <c:numRef>
              <c:f>Foglio1!$J$48:$O$48</c:f>
              <c:numCache>
                <c:formatCode>General</c:formatCode>
                <c:ptCount val="6"/>
                <c:pt idx="3" formatCode="0">
                  <c:v>25396</c:v>
                </c:pt>
                <c:pt idx="4">
                  <c:v>17952</c:v>
                </c:pt>
                <c:pt idx="5" formatCode="0">
                  <c:v>13815</c:v>
                </c:pt>
              </c:numCache>
            </c:numRef>
          </c:val>
          <c:smooth val="0"/>
        </c:ser>
        <c:ser>
          <c:idx val="7"/>
          <c:order val="7"/>
          <c:tx>
            <c:strRef>
              <c:f>Foglio1!$I$49</c:f>
              <c:strCache>
                <c:ptCount val="1"/>
                <c:pt idx="0">
                  <c:v>Braničevski</c:v>
                </c:pt>
              </c:strCache>
            </c:strRef>
          </c:tx>
          <c:cat>
            <c:numRef>
              <c:f>Foglio1!$J$41:$O$41</c:f>
              <c:numCache>
                <c:formatCode>0_ ;\-0\ </c:formatCode>
                <c:ptCount val="6"/>
                <c:pt idx="0">
                  <c:v>2007</c:v>
                </c:pt>
                <c:pt idx="1">
                  <c:v>2008</c:v>
                </c:pt>
                <c:pt idx="2">
                  <c:v>2009</c:v>
                </c:pt>
                <c:pt idx="3">
                  <c:v>2010</c:v>
                </c:pt>
                <c:pt idx="4">
                  <c:v>2011</c:v>
                </c:pt>
                <c:pt idx="5">
                  <c:v>2012</c:v>
                </c:pt>
              </c:numCache>
            </c:numRef>
          </c:cat>
          <c:val>
            <c:numRef>
              <c:f>Foglio1!$J$49:$O$49</c:f>
              <c:numCache>
                <c:formatCode>General</c:formatCode>
                <c:ptCount val="6"/>
                <c:pt idx="3" formatCode="0">
                  <c:v>22131</c:v>
                </c:pt>
                <c:pt idx="4">
                  <c:v>24690</c:v>
                </c:pt>
                <c:pt idx="5" formatCode="0">
                  <c:v>30490</c:v>
                </c:pt>
              </c:numCache>
            </c:numRef>
          </c:val>
          <c:smooth val="0"/>
        </c:ser>
        <c:ser>
          <c:idx val="8"/>
          <c:order val="8"/>
          <c:tx>
            <c:strRef>
              <c:f>Foglio1!$I$50</c:f>
              <c:strCache>
                <c:ptCount val="1"/>
                <c:pt idx="0">
                  <c:v>Borski</c:v>
                </c:pt>
              </c:strCache>
            </c:strRef>
          </c:tx>
          <c:cat>
            <c:numRef>
              <c:f>Foglio1!$J$41:$O$41</c:f>
              <c:numCache>
                <c:formatCode>0_ ;\-0\ </c:formatCode>
                <c:ptCount val="6"/>
                <c:pt idx="0">
                  <c:v>2007</c:v>
                </c:pt>
                <c:pt idx="1">
                  <c:v>2008</c:v>
                </c:pt>
                <c:pt idx="2">
                  <c:v>2009</c:v>
                </c:pt>
                <c:pt idx="3">
                  <c:v>2010</c:v>
                </c:pt>
                <c:pt idx="4">
                  <c:v>2011</c:v>
                </c:pt>
                <c:pt idx="5">
                  <c:v>2012</c:v>
                </c:pt>
              </c:numCache>
            </c:numRef>
          </c:cat>
          <c:val>
            <c:numRef>
              <c:f>Foglio1!$J$50:$O$50</c:f>
              <c:numCache>
                <c:formatCode>General</c:formatCode>
                <c:ptCount val="6"/>
                <c:pt idx="3" formatCode="0">
                  <c:v>66477</c:v>
                </c:pt>
                <c:pt idx="4">
                  <c:v>69307</c:v>
                </c:pt>
                <c:pt idx="5" formatCode="0">
                  <c:v>68023</c:v>
                </c:pt>
              </c:numCache>
            </c:numRef>
          </c:val>
          <c:smooth val="0"/>
        </c:ser>
        <c:dLbls>
          <c:showLegendKey val="0"/>
          <c:showVal val="0"/>
          <c:showCatName val="0"/>
          <c:showSerName val="0"/>
          <c:showPercent val="0"/>
          <c:showBubbleSize val="0"/>
        </c:dLbls>
        <c:marker val="1"/>
        <c:smooth val="0"/>
        <c:axId val="144759392"/>
        <c:axId val="144759784"/>
      </c:lineChart>
      <c:catAx>
        <c:axId val="144759392"/>
        <c:scaling>
          <c:orientation val="minMax"/>
        </c:scaling>
        <c:delete val="0"/>
        <c:axPos val="b"/>
        <c:numFmt formatCode="0_ ;\-0\ " sourceLinked="1"/>
        <c:majorTickMark val="out"/>
        <c:minorTickMark val="none"/>
        <c:tickLblPos val="nextTo"/>
        <c:crossAx val="144759784"/>
        <c:crosses val="autoZero"/>
        <c:auto val="1"/>
        <c:lblAlgn val="ctr"/>
        <c:lblOffset val="100"/>
        <c:noMultiLvlLbl val="0"/>
      </c:catAx>
      <c:valAx>
        <c:axId val="144759784"/>
        <c:scaling>
          <c:orientation val="minMax"/>
        </c:scaling>
        <c:delete val="0"/>
        <c:axPos val="l"/>
        <c:majorGridlines/>
        <c:numFmt formatCode="General" sourceLinked="1"/>
        <c:majorTickMark val="out"/>
        <c:minorTickMark val="none"/>
        <c:tickLblPos val="nextTo"/>
        <c:crossAx val="144759392"/>
        <c:crosses val="autoZero"/>
        <c:crossBetween val="between"/>
      </c:valAx>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2FEA32-FC58-4636-B29C-9B92E8DD58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115</Pages>
  <Words>22808</Words>
  <Characters>130840</Characters>
  <Application>Microsoft Office Word</Application>
  <DocSecurity>0</DocSecurity>
  <Lines>1090</Lines>
  <Paragraphs>306</Paragraphs>
  <ScaleCrop>false</ScaleCrop>
  <HeadingPairs>
    <vt:vector size="6" baseType="variant">
      <vt:variant>
        <vt:lpstr>Title</vt:lpstr>
      </vt:variant>
      <vt:variant>
        <vt:i4>1</vt:i4>
      </vt:variant>
      <vt:variant>
        <vt:lpstr>Titolo</vt:lpstr>
      </vt:variant>
      <vt:variant>
        <vt:i4>1</vt:i4>
      </vt:variant>
      <vt:variant>
        <vt:lpstr>Titel</vt:lpstr>
      </vt:variant>
      <vt:variant>
        <vt:i4>1</vt:i4>
      </vt:variant>
    </vt:vector>
  </HeadingPairs>
  <TitlesOfParts>
    <vt:vector size="3" baseType="lpstr">
      <vt:lpstr>Technical Assistance to the</vt:lpstr>
      <vt:lpstr>Technical Assistance to the</vt:lpstr>
      <vt:lpstr>Technical Assistance to the</vt:lpstr>
    </vt:vector>
  </TitlesOfParts>
  <Company>EAST WEST CONSULTING</Company>
  <LinksUpToDate>false</LinksUpToDate>
  <CharactersWithSpaces>153342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Assistance to the</dc:title>
  <dc:creator>DVDDD</dc:creator>
  <cp:lastModifiedBy>Razvan Trapiel</cp:lastModifiedBy>
  <cp:revision>4</cp:revision>
  <cp:lastPrinted>2014-02-12T16:07:00Z</cp:lastPrinted>
  <dcterms:created xsi:type="dcterms:W3CDTF">2015-03-26T13:56:00Z</dcterms:created>
  <dcterms:modified xsi:type="dcterms:W3CDTF">2015-03-31T08:07:00Z</dcterms:modified>
</cp:coreProperties>
</file>